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8546B9" w14:textId="22F78701" w:rsidR="00944550" w:rsidRPr="00BA73D9" w:rsidRDefault="00BA73D9" w:rsidP="00944550">
      <w:pPr>
        <w:jc w:val="center"/>
        <w:rPr>
          <w:rFonts w:ascii="Aptos" w:hAnsi="Aptos" w:cs="Arial"/>
          <w:b/>
          <w:bCs/>
          <w:color w:val="FF0000"/>
          <w:sz w:val="20"/>
          <w:szCs w:val="20"/>
          <w:u w:val="single"/>
        </w:rPr>
      </w:pPr>
      <w:r>
        <w:rPr>
          <w:rFonts w:ascii="Aptos" w:hAnsi="Aptos" w:cs="Arial"/>
          <w:b/>
          <w:bCs/>
          <w:color w:val="FF0000"/>
          <w:sz w:val="20"/>
          <w:szCs w:val="20"/>
          <w:u w:val="single"/>
        </w:rPr>
        <w:t>COMPANY</w:t>
      </w:r>
    </w:p>
    <w:p w14:paraId="3829CF77" w14:textId="77777777" w:rsidR="008A36ED" w:rsidRPr="00BA73D9" w:rsidRDefault="008A36ED" w:rsidP="00BA73D9">
      <w:pPr>
        <w:jc w:val="center"/>
        <w:rPr>
          <w:rFonts w:ascii="Aptos" w:hAnsi="Aptos" w:cs="Arial"/>
          <w:sz w:val="20"/>
          <w:szCs w:val="20"/>
          <w:u w:val="single"/>
        </w:rPr>
      </w:pPr>
      <w:r w:rsidRPr="00BA73D9">
        <w:rPr>
          <w:rFonts w:ascii="Aptos" w:hAnsi="Aptos" w:cs="Arial"/>
          <w:sz w:val="20"/>
          <w:szCs w:val="20"/>
          <w:u w:val="single"/>
        </w:rPr>
        <w:t>Risk Assessment Procedure</w:t>
      </w:r>
    </w:p>
    <w:p w14:paraId="3708E092" w14:textId="77777777" w:rsidR="008A36ED" w:rsidRPr="00BA73D9" w:rsidRDefault="008A36ED" w:rsidP="008A36ED">
      <w:pPr>
        <w:jc w:val="center"/>
        <w:rPr>
          <w:rFonts w:ascii="Aptos" w:hAnsi="Aptos" w:cs="Arial"/>
          <w:b/>
          <w:bCs/>
          <w:sz w:val="20"/>
          <w:szCs w:val="20"/>
        </w:rPr>
      </w:pPr>
    </w:p>
    <w:p w14:paraId="03357EAB" w14:textId="7EE6CB28" w:rsidR="008A36ED" w:rsidRPr="00BA73D9" w:rsidRDefault="008A36ED" w:rsidP="008A36ED">
      <w:pPr>
        <w:rPr>
          <w:rFonts w:ascii="Aptos" w:hAnsi="Aptos" w:cs="Arial"/>
          <w:b/>
          <w:bCs/>
          <w:sz w:val="20"/>
          <w:szCs w:val="20"/>
        </w:rPr>
      </w:pPr>
      <w:r w:rsidRPr="00BA73D9">
        <w:rPr>
          <w:rFonts w:ascii="Aptos" w:hAnsi="Aptos" w:cs="Arial"/>
          <w:b/>
          <w:bCs/>
          <w:sz w:val="20"/>
          <w:szCs w:val="20"/>
        </w:rPr>
        <w:t>Scope:</w:t>
      </w:r>
    </w:p>
    <w:p w14:paraId="36492237" w14:textId="77777777" w:rsidR="008A36ED" w:rsidRPr="00BA73D9" w:rsidRDefault="008A36ED" w:rsidP="008A36ED">
      <w:pPr>
        <w:rPr>
          <w:rFonts w:ascii="Aptos" w:hAnsi="Aptos" w:cs="Arial"/>
          <w:b/>
          <w:bCs/>
          <w:sz w:val="20"/>
          <w:szCs w:val="20"/>
        </w:rPr>
      </w:pPr>
    </w:p>
    <w:p w14:paraId="2EB26563" w14:textId="77777777" w:rsidR="008A36ED" w:rsidRPr="00BA73D9" w:rsidRDefault="008A36ED" w:rsidP="008A36ED">
      <w:pPr>
        <w:rPr>
          <w:rFonts w:ascii="Aptos" w:hAnsi="Aptos" w:cs="Arial"/>
          <w:sz w:val="20"/>
          <w:szCs w:val="20"/>
        </w:rPr>
      </w:pPr>
      <w:r w:rsidRPr="00BA73D9">
        <w:rPr>
          <w:rFonts w:ascii="Aptos" w:hAnsi="Aptos" w:cs="Arial"/>
          <w:sz w:val="20"/>
          <w:szCs w:val="20"/>
        </w:rPr>
        <w:t>This procedure shall apply to all company undertakings.</w:t>
      </w:r>
    </w:p>
    <w:p w14:paraId="0CE8436F" w14:textId="77777777" w:rsidR="008A36ED" w:rsidRPr="00BA73D9" w:rsidRDefault="008A36ED" w:rsidP="008A36ED">
      <w:pPr>
        <w:rPr>
          <w:rFonts w:ascii="Aptos" w:hAnsi="Aptos" w:cs="Arial"/>
          <w:sz w:val="20"/>
          <w:szCs w:val="20"/>
        </w:rPr>
      </w:pPr>
    </w:p>
    <w:p w14:paraId="456FC334" w14:textId="77777777" w:rsidR="008A36ED" w:rsidRPr="00BA73D9" w:rsidRDefault="008A36ED" w:rsidP="008A36ED">
      <w:pPr>
        <w:rPr>
          <w:rFonts w:ascii="Aptos" w:hAnsi="Aptos" w:cs="Arial"/>
          <w:b/>
          <w:bCs/>
          <w:sz w:val="20"/>
          <w:szCs w:val="20"/>
        </w:rPr>
      </w:pPr>
      <w:r w:rsidRPr="00BA73D9">
        <w:rPr>
          <w:rFonts w:ascii="Aptos" w:hAnsi="Aptos" w:cs="Arial"/>
          <w:b/>
          <w:bCs/>
          <w:sz w:val="20"/>
          <w:szCs w:val="20"/>
        </w:rPr>
        <w:t>Objectives:</w:t>
      </w:r>
    </w:p>
    <w:p w14:paraId="6BA07F79" w14:textId="77777777" w:rsidR="008A36ED" w:rsidRPr="00BA73D9" w:rsidRDefault="008A36ED" w:rsidP="008A36ED">
      <w:pPr>
        <w:rPr>
          <w:rFonts w:ascii="Aptos" w:hAnsi="Aptos" w:cs="Arial"/>
          <w:b/>
          <w:bCs/>
          <w:sz w:val="20"/>
          <w:szCs w:val="20"/>
        </w:rPr>
      </w:pPr>
    </w:p>
    <w:p w14:paraId="07474025" w14:textId="77777777" w:rsidR="008A36ED" w:rsidRPr="00BA73D9" w:rsidRDefault="008A36ED" w:rsidP="008A36ED">
      <w:pPr>
        <w:numPr>
          <w:ilvl w:val="0"/>
          <w:numId w:val="3"/>
        </w:numPr>
        <w:rPr>
          <w:rFonts w:ascii="Aptos" w:hAnsi="Aptos" w:cs="Arial"/>
          <w:sz w:val="20"/>
          <w:szCs w:val="20"/>
        </w:rPr>
      </w:pPr>
      <w:r w:rsidRPr="00BA73D9">
        <w:rPr>
          <w:rFonts w:ascii="Aptos" w:hAnsi="Aptos" w:cs="Arial"/>
          <w:sz w:val="20"/>
          <w:szCs w:val="20"/>
        </w:rPr>
        <w:t>Works are planned and approved following the logical sequence of events.</w:t>
      </w:r>
    </w:p>
    <w:p w14:paraId="5374703B" w14:textId="77777777" w:rsidR="008A36ED" w:rsidRPr="00BA73D9" w:rsidRDefault="008A36ED" w:rsidP="008A36ED">
      <w:pPr>
        <w:numPr>
          <w:ilvl w:val="0"/>
          <w:numId w:val="3"/>
        </w:numPr>
        <w:rPr>
          <w:rFonts w:ascii="Aptos" w:hAnsi="Aptos" w:cs="Arial"/>
          <w:sz w:val="20"/>
          <w:szCs w:val="20"/>
        </w:rPr>
      </w:pPr>
      <w:r w:rsidRPr="00BA73D9">
        <w:rPr>
          <w:rFonts w:ascii="Aptos" w:hAnsi="Aptos" w:cs="Arial"/>
          <w:sz w:val="20"/>
          <w:szCs w:val="20"/>
        </w:rPr>
        <w:t>All risks shall be assessed prior to undertaking work.</w:t>
      </w:r>
    </w:p>
    <w:p w14:paraId="35026864" w14:textId="77777777" w:rsidR="008A36ED" w:rsidRPr="00BA73D9" w:rsidRDefault="008A36ED" w:rsidP="008A36ED">
      <w:pPr>
        <w:numPr>
          <w:ilvl w:val="0"/>
          <w:numId w:val="3"/>
        </w:numPr>
        <w:rPr>
          <w:rFonts w:ascii="Aptos" w:hAnsi="Aptos" w:cs="Arial"/>
          <w:sz w:val="20"/>
          <w:szCs w:val="20"/>
        </w:rPr>
      </w:pPr>
      <w:r w:rsidRPr="00BA73D9">
        <w:rPr>
          <w:rFonts w:ascii="Aptos" w:hAnsi="Aptos" w:cs="Arial"/>
          <w:sz w:val="20"/>
          <w:szCs w:val="20"/>
        </w:rPr>
        <w:t>Control measures shall be put in place to ensure that the level of risk is as low as reasonably practicable.</w:t>
      </w:r>
    </w:p>
    <w:p w14:paraId="386B9FD1" w14:textId="77777777" w:rsidR="008A36ED" w:rsidRPr="00BA73D9" w:rsidRDefault="008A36ED" w:rsidP="008A36ED">
      <w:pPr>
        <w:numPr>
          <w:ilvl w:val="0"/>
          <w:numId w:val="3"/>
        </w:numPr>
        <w:rPr>
          <w:rFonts w:ascii="Aptos" w:hAnsi="Aptos" w:cs="Arial"/>
          <w:b/>
          <w:bCs/>
          <w:sz w:val="20"/>
          <w:szCs w:val="20"/>
        </w:rPr>
      </w:pPr>
      <w:r w:rsidRPr="00BA73D9">
        <w:rPr>
          <w:rFonts w:ascii="Aptos" w:hAnsi="Aptos" w:cs="Arial"/>
          <w:sz w:val="20"/>
          <w:szCs w:val="20"/>
        </w:rPr>
        <w:t>The identification of hazard and the subsequent control of evaluated risk shall ensure compliance with company policy</w:t>
      </w:r>
    </w:p>
    <w:p w14:paraId="13DEE673" w14:textId="77777777" w:rsidR="008A36ED" w:rsidRPr="00BA73D9" w:rsidRDefault="008A36ED" w:rsidP="008A36ED">
      <w:pPr>
        <w:rPr>
          <w:rFonts w:ascii="Aptos" w:hAnsi="Aptos" w:cs="Arial"/>
          <w:sz w:val="20"/>
          <w:szCs w:val="20"/>
        </w:rPr>
      </w:pPr>
    </w:p>
    <w:p w14:paraId="693B953A" w14:textId="77777777" w:rsidR="008A36ED" w:rsidRPr="00BA73D9" w:rsidRDefault="008A36ED" w:rsidP="008A36ED">
      <w:pPr>
        <w:rPr>
          <w:rFonts w:ascii="Aptos" w:hAnsi="Aptos" w:cs="Arial"/>
          <w:b/>
          <w:bCs/>
          <w:sz w:val="20"/>
          <w:szCs w:val="20"/>
        </w:rPr>
      </w:pPr>
      <w:r w:rsidRPr="00BA73D9">
        <w:rPr>
          <w:rFonts w:ascii="Aptos" w:hAnsi="Aptos" w:cs="Arial"/>
          <w:b/>
          <w:bCs/>
          <w:sz w:val="20"/>
          <w:szCs w:val="20"/>
        </w:rPr>
        <w:t>Process Owner:</w:t>
      </w:r>
    </w:p>
    <w:p w14:paraId="2DD8CEE7" w14:textId="77777777" w:rsidR="008A36ED" w:rsidRPr="00BA73D9" w:rsidRDefault="008A36ED" w:rsidP="008A36ED">
      <w:pPr>
        <w:rPr>
          <w:rFonts w:ascii="Aptos" w:hAnsi="Aptos" w:cs="Arial"/>
          <w:b/>
          <w:bCs/>
          <w:sz w:val="20"/>
          <w:szCs w:val="20"/>
        </w:rPr>
      </w:pPr>
    </w:p>
    <w:p w14:paraId="71863EEB" w14:textId="77777777" w:rsidR="008A36ED" w:rsidRPr="00BA73D9" w:rsidRDefault="00673AFF" w:rsidP="008A36ED">
      <w:pPr>
        <w:rPr>
          <w:rFonts w:ascii="Aptos" w:hAnsi="Aptos" w:cs="Arial"/>
          <w:color w:val="EE0000"/>
          <w:sz w:val="20"/>
          <w:szCs w:val="20"/>
        </w:rPr>
      </w:pPr>
      <w:r w:rsidRPr="00BA73D9">
        <w:rPr>
          <w:rFonts w:ascii="Aptos" w:hAnsi="Aptos" w:cs="Arial"/>
          <w:color w:val="EE0000"/>
          <w:sz w:val="20"/>
          <w:szCs w:val="20"/>
        </w:rPr>
        <w:t>NAME - ROLE</w:t>
      </w:r>
    </w:p>
    <w:p w14:paraId="4628B6C1" w14:textId="77777777" w:rsidR="008A36ED" w:rsidRPr="00BA73D9" w:rsidRDefault="008A36ED" w:rsidP="008A36ED">
      <w:pPr>
        <w:rPr>
          <w:rFonts w:ascii="Aptos" w:hAnsi="Aptos" w:cs="Arial"/>
          <w:color w:val="FF0000"/>
          <w:sz w:val="20"/>
          <w:szCs w:val="20"/>
        </w:rPr>
      </w:pPr>
    </w:p>
    <w:p w14:paraId="22F7EDD8" w14:textId="77777777" w:rsidR="0090403D" w:rsidRPr="00BA73D9" w:rsidRDefault="00000000">
      <w:pPr>
        <w:rPr>
          <w:rFonts w:ascii="Aptos" w:hAnsi="Aptos"/>
          <w:sz w:val="20"/>
          <w:szCs w:val="20"/>
        </w:rPr>
      </w:pPr>
      <w:r w:rsidRPr="00BA73D9">
        <w:rPr>
          <w:rFonts w:ascii="Aptos" w:hAnsi="Aptos"/>
          <w:b/>
          <w:sz w:val="20"/>
          <w:szCs w:val="20"/>
        </w:rPr>
        <w:t>Authorisation &amp; Responsibility for Risk Assessments:</w:t>
      </w:r>
    </w:p>
    <w:p w14:paraId="1C6C483E" w14:textId="77777777" w:rsidR="0090403D" w:rsidRPr="00BA73D9" w:rsidRDefault="0090403D">
      <w:pPr>
        <w:rPr>
          <w:rFonts w:ascii="Aptos" w:hAnsi="Aptos"/>
          <w:sz w:val="20"/>
          <w:szCs w:val="20"/>
        </w:rPr>
      </w:pPr>
    </w:p>
    <w:p w14:paraId="011C4506" w14:textId="3C97CC48" w:rsidR="0090403D" w:rsidRPr="00BA73D9" w:rsidRDefault="00000000">
      <w:pPr>
        <w:rPr>
          <w:rFonts w:ascii="Aptos" w:hAnsi="Aptos"/>
          <w:sz w:val="20"/>
          <w:szCs w:val="20"/>
        </w:rPr>
      </w:pPr>
      <w:r w:rsidRPr="00BA73D9">
        <w:rPr>
          <w:rFonts w:ascii="Aptos" w:hAnsi="Aptos"/>
          <w:sz w:val="20"/>
          <w:szCs w:val="20"/>
        </w:rPr>
        <w:t xml:space="preserve">Generic Risk Assessments (GRAs) are compiled by the Process Owner (or a competent person nominated by the Process Owner) and are reviewed and formally authorised by a </w:t>
      </w:r>
      <w:r w:rsidR="00BA73D9" w:rsidRPr="00BA73D9">
        <w:rPr>
          <w:rFonts w:ascii="Aptos" w:hAnsi="Aptos"/>
          <w:sz w:val="20"/>
          <w:szCs w:val="20"/>
        </w:rPr>
        <w:t>director</w:t>
      </w:r>
      <w:r w:rsidRPr="00BA73D9">
        <w:rPr>
          <w:rFonts w:ascii="Aptos" w:hAnsi="Aptos"/>
          <w:sz w:val="20"/>
          <w:szCs w:val="20"/>
        </w:rPr>
        <w:t xml:space="preserve"> before being adopted into the Company's GRA library and made available for use.</w:t>
      </w:r>
    </w:p>
    <w:p w14:paraId="3490AA22" w14:textId="77777777" w:rsidR="0090403D" w:rsidRPr="00BA73D9" w:rsidRDefault="0090403D">
      <w:pPr>
        <w:rPr>
          <w:rFonts w:ascii="Aptos" w:hAnsi="Aptos"/>
          <w:sz w:val="20"/>
          <w:szCs w:val="20"/>
        </w:rPr>
      </w:pPr>
    </w:p>
    <w:p w14:paraId="2CDBA19C" w14:textId="4A42B3CA" w:rsidR="0090403D" w:rsidRPr="00BA73D9" w:rsidRDefault="00000000">
      <w:pPr>
        <w:rPr>
          <w:rFonts w:ascii="Aptos" w:hAnsi="Aptos"/>
          <w:sz w:val="20"/>
          <w:szCs w:val="20"/>
        </w:rPr>
      </w:pPr>
      <w:r w:rsidRPr="00BA73D9">
        <w:rPr>
          <w:rFonts w:ascii="Aptos" w:hAnsi="Aptos"/>
          <w:sz w:val="20"/>
          <w:szCs w:val="20"/>
        </w:rPr>
        <w:t>Site-Specific Risk Assessments are compiled by the Surveyor at the survey stage and by the Team Leader on the day of the works (to record any additional site-specific hazard</w:t>
      </w:r>
      <w:r w:rsidR="00BA73D9" w:rsidRPr="00BA73D9">
        <w:rPr>
          <w:rFonts w:ascii="Aptos" w:hAnsi="Aptos"/>
          <w:sz w:val="20"/>
          <w:szCs w:val="20"/>
        </w:rPr>
        <w:t>) and</w:t>
      </w:r>
      <w:r w:rsidRPr="00BA73D9">
        <w:rPr>
          <w:rFonts w:ascii="Aptos" w:hAnsi="Aptos"/>
          <w:sz w:val="20"/>
          <w:szCs w:val="20"/>
        </w:rPr>
        <w:t xml:space="preserve"> are authorised for work to proceed through the Client Review and Client Approval Received stages shown in the Sequence of Events, and by the Team Leader's confirmation prior to work starting on site.</w:t>
      </w:r>
    </w:p>
    <w:p w14:paraId="00D3B90D" w14:textId="77777777" w:rsidR="0090403D" w:rsidRPr="00BA73D9" w:rsidRDefault="0090403D">
      <w:pPr>
        <w:rPr>
          <w:rFonts w:ascii="Aptos" w:hAnsi="Aptos"/>
          <w:sz w:val="20"/>
          <w:szCs w:val="20"/>
        </w:rPr>
      </w:pPr>
    </w:p>
    <w:p w14:paraId="556EDB9C" w14:textId="77777777" w:rsidR="008A36ED" w:rsidRPr="00BA73D9" w:rsidRDefault="008A36ED" w:rsidP="008A36ED">
      <w:pPr>
        <w:rPr>
          <w:rFonts w:ascii="Aptos" w:hAnsi="Aptos" w:cs="Arial"/>
          <w:b/>
          <w:sz w:val="20"/>
          <w:szCs w:val="20"/>
        </w:rPr>
      </w:pPr>
      <w:r w:rsidRPr="00BA73D9">
        <w:rPr>
          <w:rFonts w:ascii="Aptos" w:hAnsi="Aptos" w:cs="Arial"/>
          <w:b/>
          <w:sz w:val="20"/>
          <w:szCs w:val="20"/>
        </w:rPr>
        <w:t>Sequence of Events:</w:t>
      </w:r>
    </w:p>
    <w:p w14:paraId="18EBD47E" w14:textId="77777777" w:rsidR="008A36ED" w:rsidRPr="00BA73D9" w:rsidRDefault="008A36ED" w:rsidP="008A36ED">
      <w:pPr>
        <w:rPr>
          <w:rFonts w:ascii="Aptos" w:hAnsi="Aptos" w:cs="Arial"/>
          <w:sz w:val="20"/>
          <w:szCs w:val="20"/>
        </w:rPr>
      </w:pPr>
    </w:p>
    <w:p w14:paraId="2A43A0D2" w14:textId="77777777" w:rsidR="008A36ED" w:rsidRPr="00BA73D9" w:rsidRDefault="008A36ED" w:rsidP="008A36ED">
      <w:pPr>
        <w:rPr>
          <w:rFonts w:ascii="Aptos" w:hAnsi="Aptos" w:cs="Arial"/>
          <w:sz w:val="20"/>
          <w:szCs w:val="20"/>
        </w:rPr>
      </w:pPr>
      <w:r w:rsidRPr="00BA73D9">
        <w:rPr>
          <w:rFonts w:ascii="Aptos" w:hAnsi="Aptos" w:cs="Arial"/>
          <w:sz w:val="20"/>
          <w:szCs w:val="20"/>
        </w:rPr>
        <w:t>See page 2 for the flowchart…</w:t>
      </w:r>
    </w:p>
    <w:p w14:paraId="7F7D50DB" w14:textId="77777777" w:rsidR="008A36ED" w:rsidRPr="00BA73D9" w:rsidRDefault="008A36ED" w:rsidP="008A36ED">
      <w:pPr>
        <w:jc w:val="center"/>
        <w:rPr>
          <w:rFonts w:ascii="Aptos" w:hAnsi="Aptos" w:cs="Arial"/>
          <w:b/>
          <w:sz w:val="20"/>
          <w:szCs w:val="20"/>
        </w:rPr>
      </w:pPr>
    </w:p>
    <w:p w14:paraId="0593E716" w14:textId="77777777" w:rsidR="008A36ED" w:rsidRPr="00BA73D9" w:rsidRDefault="008A36ED" w:rsidP="008A36ED">
      <w:pPr>
        <w:rPr>
          <w:rFonts w:ascii="Aptos" w:hAnsi="Aptos" w:cs="Arial"/>
          <w:sz w:val="20"/>
          <w:szCs w:val="20"/>
        </w:rPr>
      </w:pPr>
    </w:p>
    <w:p w14:paraId="1614DE55" w14:textId="77777777" w:rsidR="008A36ED" w:rsidRPr="00BA73D9" w:rsidRDefault="00527969" w:rsidP="008A36ED">
      <w:pPr>
        <w:rPr>
          <w:rFonts w:ascii="Aptos" w:hAnsi="Aptos" w:cs="Arial"/>
          <w:b/>
          <w:sz w:val="20"/>
          <w:szCs w:val="20"/>
        </w:rPr>
      </w:pPr>
      <w:r w:rsidRPr="00BA73D9">
        <w:rPr>
          <w:rFonts w:ascii="Aptos" w:hAnsi="Aptos" w:cs="Arial"/>
          <w:b/>
          <w:noProof/>
          <w:sz w:val="20"/>
          <w:szCs w:val="20"/>
        </w:rPr>
        <w:lastRenderedPageBreak/>
        <w:drawing>
          <wp:inline distT="0" distB="0" distL="0" distR="0" wp14:anchorId="1420039D" wp14:editId="288C729F">
            <wp:extent cx="6112923" cy="7384116"/>
            <wp:effectExtent l="0" t="0" r="0" b="0"/>
            <wp:docPr id="1430319633" name="Picture 2" descr="A diagram of a work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19633" name="Picture 2" descr="A diagram of a work flow&#10;&#10;Description automatically generated"/>
                    <pic:cNvPicPr/>
                  </pic:nvPicPr>
                  <pic:blipFill>
                    <a:blip r:embed="rId7"/>
                    <a:stretch>
                      <a:fillRect/>
                    </a:stretch>
                  </pic:blipFill>
                  <pic:spPr>
                    <a:xfrm>
                      <a:off x="0" y="0"/>
                      <a:ext cx="6173526" cy="7457322"/>
                    </a:xfrm>
                    <a:prstGeom prst="rect">
                      <a:avLst/>
                    </a:prstGeom>
                  </pic:spPr>
                </pic:pic>
              </a:graphicData>
            </a:graphic>
          </wp:inline>
        </w:drawing>
      </w:r>
      <w:r w:rsidR="008A36ED" w:rsidRPr="00BA73D9">
        <w:rPr>
          <w:rFonts w:ascii="Aptos" w:hAnsi="Aptos" w:cs="Arial"/>
          <w:b/>
          <w:sz w:val="20"/>
          <w:szCs w:val="20"/>
        </w:rPr>
        <w:br w:type="page"/>
      </w:r>
      <w:r w:rsidR="008A36ED" w:rsidRPr="00BA73D9">
        <w:rPr>
          <w:rFonts w:ascii="Aptos" w:hAnsi="Aptos" w:cs="Arial"/>
          <w:b/>
          <w:sz w:val="20"/>
          <w:szCs w:val="20"/>
        </w:rPr>
        <w:lastRenderedPageBreak/>
        <w:t>Generic Risk Assessment:</w:t>
      </w:r>
    </w:p>
    <w:p w14:paraId="39A22438" w14:textId="77777777" w:rsidR="008A36ED" w:rsidRPr="00BA73D9" w:rsidRDefault="008A36ED" w:rsidP="008A36ED">
      <w:pPr>
        <w:rPr>
          <w:rFonts w:ascii="Aptos" w:hAnsi="Aptos" w:cs="Arial"/>
          <w:sz w:val="20"/>
          <w:szCs w:val="20"/>
        </w:rPr>
      </w:pPr>
    </w:p>
    <w:p w14:paraId="1C543ACF" w14:textId="77777777" w:rsidR="008A36ED" w:rsidRPr="00BA73D9" w:rsidRDefault="008A36ED" w:rsidP="008A36ED">
      <w:pPr>
        <w:rPr>
          <w:rFonts w:ascii="Aptos" w:hAnsi="Aptos" w:cs="Arial"/>
          <w:sz w:val="20"/>
          <w:szCs w:val="20"/>
        </w:rPr>
      </w:pPr>
      <w:r w:rsidRPr="00BA73D9">
        <w:rPr>
          <w:rFonts w:ascii="Aptos" w:hAnsi="Aptos" w:cs="Arial"/>
          <w:sz w:val="20"/>
          <w:szCs w:val="20"/>
        </w:rPr>
        <w:t xml:space="preserve">Generic risk assessments are prepared for all operations, hazards and risks that tend to be the same on every site. </w:t>
      </w:r>
    </w:p>
    <w:p w14:paraId="6660CF18" w14:textId="77777777" w:rsidR="008A36ED" w:rsidRPr="00BA73D9" w:rsidRDefault="008A36ED" w:rsidP="008A36ED">
      <w:pPr>
        <w:rPr>
          <w:rFonts w:ascii="Aptos" w:hAnsi="Aptos" w:cs="Arial"/>
          <w:sz w:val="20"/>
          <w:szCs w:val="20"/>
        </w:rPr>
      </w:pPr>
    </w:p>
    <w:p w14:paraId="2AF5B8E4" w14:textId="77777777" w:rsidR="008A36ED" w:rsidRPr="00BA73D9" w:rsidRDefault="008A36ED" w:rsidP="008A36ED">
      <w:pPr>
        <w:rPr>
          <w:rFonts w:ascii="Aptos" w:hAnsi="Aptos" w:cs="Arial"/>
          <w:sz w:val="20"/>
          <w:szCs w:val="20"/>
        </w:rPr>
      </w:pPr>
      <w:r w:rsidRPr="00BA73D9">
        <w:rPr>
          <w:rFonts w:ascii="Aptos" w:hAnsi="Aptos" w:cs="Arial"/>
          <w:sz w:val="20"/>
          <w:szCs w:val="20"/>
        </w:rPr>
        <w:t>These documents will identify the hazard, identify who may be harmed and how, evaluate the risk and specify the standard operation procedures to be used to reduce the risk to a level which is acceptable and as low as reasonably practicable.</w:t>
      </w:r>
    </w:p>
    <w:p w14:paraId="2FC2CF42" w14:textId="77777777" w:rsidR="008A36ED" w:rsidRPr="00BA73D9" w:rsidRDefault="008A36ED" w:rsidP="008A36ED">
      <w:pPr>
        <w:rPr>
          <w:rFonts w:ascii="Aptos" w:hAnsi="Aptos" w:cs="Arial"/>
          <w:sz w:val="20"/>
          <w:szCs w:val="20"/>
        </w:rPr>
      </w:pPr>
    </w:p>
    <w:p w14:paraId="5F95D4F1" w14:textId="77777777" w:rsidR="008A36ED" w:rsidRPr="00BA73D9" w:rsidRDefault="008A36ED" w:rsidP="008A36ED">
      <w:pPr>
        <w:rPr>
          <w:rFonts w:ascii="Aptos" w:hAnsi="Aptos" w:cs="Arial"/>
          <w:sz w:val="20"/>
          <w:szCs w:val="20"/>
        </w:rPr>
      </w:pPr>
      <w:r w:rsidRPr="00BA73D9">
        <w:rPr>
          <w:rFonts w:ascii="Aptos" w:hAnsi="Aptos" w:cs="Arial"/>
          <w:sz w:val="20"/>
          <w:szCs w:val="20"/>
        </w:rPr>
        <w:t>The following 4x4 matrix shall be used to evaluate the level of risk before and after control.</w:t>
      </w:r>
    </w:p>
    <w:p w14:paraId="121703B6" w14:textId="77777777" w:rsidR="008A36ED" w:rsidRPr="00BA73D9" w:rsidRDefault="008A36ED" w:rsidP="008A36ED">
      <w:pPr>
        <w:rPr>
          <w:rFonts w:ascii="Aptos" w:hAnsi="Aptos" w:cs="Arial"/>
          <w:sz w:val="20"/>
          <w:szCs w:val="20"/>
        </w:rPr>
      </w:pPr>
    </w:p>
    <w:tbl>
      <w:tblPr>
        <w:tblW w:w="0" w:type="auto"/>
        <w:jc w:val="center"/>
        <w:tblBorders>
          <w:top w:val="single" w:sz="12" w:space="0" w:color="auto"/>
          <w:left w:val="single" w:sz="12"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710"/>
        <w:gridCol w:w="810"/>
        <w:gridCol w:w="900"/>
        <w:gridCol w:w="825"/>
        <w:gridCol w:w="630"/>
      </w:tblGrid>
      <w:tr w:rsidR="008A36ED" w:rsidRPr="00BA73D9" w14:paraId="48195A2C" w14:textId="77777777" w:rsidTr="007D2B7D">
        <w:trPr>
          <w:cantSplit/>
          <w:trHeight w:val="1134"/>
          <w:jc w:val="center"/>
        </w:trPr>
        <w:tc>
          <w:tcPr>
            <w:tcW w:w="1710" w:type="dxa"/>
            <w:tcBorders>
              <w:top w:val="nil"/>
              <w:left w:val="nil"/>
              <w:bottom w:val="single" w:sz="6" w:space="0" w:color="auto"/>
              <w:right w:val="single" w:sz="6" w:space="0" w:color="auto"/>
            </w:tcBorders>
            <w:textDirection w:val="tbRl"/>
          </w:tcPr>
          <w:p w14:paraId="17F60EA6" w14:textId="77777777" w:rsidR="008A36ED" w:rsidRPr="00BA73D9" w:rsidRDefault="008A36ED" w:rsidP="007D2B7D">
            <w:pPr>
              <w:ind w:left="113" w:right="113"/>
              <w:jc w:val="center"/>
              <w:rPr>
                <w:rFonts w:ascii="Aptos" w:hAnsi="Aptos" w:cs="Arial"/>
                <w:sz w:val="20"/>
                <w:szCs w:val="20"/>
              </w:rPr>
            </w:pPr>
          </w:p>
        </w:tc>
        <w:tc>
          <w:tcPr>
            <w:tcW w:w="810" w:type="dxa"/>
            <w:tcBorders>
              <w:top w:val="single" w:sz="12" w:space="0" w:color="auto"/>
              <w:left w:val="single" w:sz="6" w:space="0" w:color="auto"/>
              <w:bottom w:val="single" w:sz="6" w:space="0" w:color="auto"/>
              <w:right w:val="single" w:sz="6" w:space="0" w:color="auto"/>
            </w:tcBorders>
            <w:shd w:val="clear" w:color="auto" w:fill="CCFFCC"/>
            <w:textDirection w:val="tbRl"/>
            <w:hideMark/>
          </w:tcPr>
          <w:p w14:paraId="559CAC41" w14:textId="77777777" w:rsidR="008A36ED" w:rsidRPr="00BA73D9" w:rsidRDefault="008A36ED" w:rsidP="007D2B7D">
            <w:pPr>
              <w:ind w:left="113" w:right="113"/>
              <w:jc w:val="center"/>
              <w:rPr>
                <w:rFonts w:ascii="Aptos" w:hAnsi="Aptos" w:cs="Arial"/>
                <w:sz w:val="20"/>
                <w:szCs w:val="20"/>
              </w:rPr>
            </w:pPr>
            <w:r w:rsidRPr="00BA73D9">
              <w:rPr>
                <w:rFonts w:ascii="Aptos" w:hAnsi="Aptos" w:cs="Arial"/>
                <w:sz w:val="20"/>
                <w:szCs w:val="20"/>
              </w:rPr>
              <w:t>Trivial</w:t>
            </w:r>
          </w:p>
          <w:p w14:paraId="76890B0F" w14:textId="77777777" w:rsidR="008A36ED" w:rsidRPr="00BA73D9" w:rsidRDefault="008A36ED" w:rsidP="007D2B7D">
            <w:pPr>
              <w:ind w:left="113" w:right="113"/>
              <w:jc w:val="center"/>
              <w:rPr>
                <w:rFonts w:ascii="Aptos" w:hAnsi="Aptos" w:cs="Arial"/>
                <w:sz w:val="20"/>
                <w:szCs w:val="20"/>
              </w:rPr>
            </w:pPr>
            <w:r w:rsidRPr="00BA73D9">
              <w:rPr>
                <w:rFonts w:ascii="Aptos" w:hAnsi="Aptos" w:cs="Arial"/>
                <w:sz w:val="20"/>
                <w:szCs w:val="20"/>
              </w:rPr>
              <w:t>Incident</w:t>
            </w:r>
          </w:p>
        </w:tc>
        <w:tc>
          <w:tcPr>
            <w:tcW w:w="900" w:type="dxa"/>
            <w:tcBorders>
              <w:top w:val="single" w:sz="12" w:space="0" w:color="auto"/>
              <w:left w:val="single" w:sz="6" w:space="0" w:color="auto"/>
              <w:bottom w:val="single" w:sz="6" w:space="0" w:color="auto"/>
              <w:right w:val="single" w:sz="6" w:space="0" w:color="auto"/>
            </w:tcBorders>
            <w:shd w:val="clear" w:color="auto" w:fill="CCFFCC"/>
            <w:textDirection w:val="tbRl"/>
            <w:hideMark/>
          </w:tcPr>
          <w:p w14:paraId="027A294D" w14:textId="77777777" w:rsidR="008A36ED" w:rsidRPr="00BA73D9" w:rsidRDefault="008A36ED" w:rsidP="007D2B7D">
            <w:pPr>
              <w:ind w:left="113" w:right="113"/>
              <w:jc w:val="center"/>
              <w:rPr>
                <w:rFonts w:ascii="Aptos" w:hAnsi="Aptos" w:cs="Arial"/>
                <w:sz w:val="20"/>
                <w:szCs w:val="20"/>
              </w:rPr>
            </w:pPr>
            <w:r w:rsidRPr="00BA73D9">
              <w:rPr>
                <w:rFonts w:ascii="Aptos" w:hAnsi="Aptos" w:cs="Arial"/>
                <w:sz w:val="20"/>
                <w:szCs w:val="20"/>
              </w:rPr>
              <w:t>Minor</w:t>
            </w:r>
          </w:p>
          <w:p w14:paraId="238F2333" w14:textId="77777777" w:rsidR="008A36ED" w:rsidRPr="00BA73D9" w:rsidRDefault="008A36ED" w:rsidP="007D2B7D">
            <w:pPr>
              <w:ind w:left="113" w:right="113"/>
              <w:jc w:val="center"/>
              <w:rPr>
                <w:rFonts w:ascii="Aptos" w:hAnsi="Aptos" w:cs="Arial"/>
                <w:sz w:val="20"/>
                <w:szCs w:val="20"/>
              </w:rPr>
            </w:pPr>
            <w:r w:rsidRPr="00BA73D9">
              <w:rPr>
                <w:rFonts w:ascii="Aptos" w:hAnsi="Aptos" w:cs="Arial"/>
                <w:sz w:val="20"/>
                <w:szCs w:val="20"/>
              </w:rPr>
              <w:t>Incident</w:t>
            </w:r>
          </w:p>
        </w:tc>
        <w:tc>
          <w:tcPr>
            <w:tcW w:w="825" w:type="dxa"/>
            <w:tcBorders>
              <w:top w:val="single" w:sz="12" w:space="0" w:color="auto"/>
              <w:left w:val="single" w:sz="6" w:space="0" w:color="auto"/>
              <w:bottom w:val="single" w:sz="6" w:space="0" w:color="auto"/>
              <w:right w:val="single" w:sz="6" w:space="0" w:color="auto"/>
            </w:tcBorders>
            <w:shd w:val="clear" w:color="auto" w:fill="CCFFCC"/>
            <w:textDirection w:val="tbRl"/>
            <w:hideMark/>
          </w:tcPr>
          <w:p w14:paraId="45462629" w14:textId="77777777" w:rsidR="008A36ED" w:rsidRPr="00BA73D9" w:rsidRDefault="008A36ED" w:rsidP="007D2B7D">
            <w:pPr>
              <w:ind w:left="113" w:right="113"/>
              <w:jc w:val="center"/>
              <w:rPr>
                <w:rFonts w:ascii="Aptos" w:hAnsi="Aptos" w:cs="Arial"/>
                <w:sz w:val="20"/>
                <w:szCs w:val="20"/>
              </w:rPr>
            </w:pPr>
            <w:r w:rsidRPr="00BA73D9">
              <w:rPr>
                <w:rFonts w:ascii="Aptos" w:hAnsi="Aptos" w:cs="Arial"/>
                <w:sz w:val="20"/>
                <w:szCs w:val="20"/>
              </w:rPr>
              <w:t>Major Incidents</w:t>
            </w:r>
          </w:p>
        </w:tc>
        <w:tc>
          <w:tcPr>
            <w:tcW w:w="630" w:type="dxa"/>
            <w:tcBorders>
              <w:top w:val="single" w:sz="12" w:space="0" w:color="auto"/>
              <w:left w:val="single" w:sz="6" w:space="0" w:color="auto"/>
              <w:bottom w:val="single" w:sz="6" w:space="0" w:color="auto"/>
              <w:right w:val="single" w:sz="6" w:space="0" w:color="auto"/>
            </w:tcBorders>
            <w:shd w:val="clear" w:color="auto" w:fill="CCFFCC"/>
            <w:textDirection w:val="tbRl"/>
            <w:hideMark/>
          </w:tcPr>
          <w:p w14:paraId="2F32BA14" w14:textId="77777777" w:rsidR="008A36ED" w:rsidRPr="00BA73D9" w:rsidRDefault="008A36ED" w:rsidP="007D2B7D">
            <w:pPr>
              <w:ind w:left="113" w:right="113"/>
              <w:jc w:val="center"/>
              <w:rPr>
                <w:rFonts w:ascii="Aptos" w:hAnsi="Aptos" w:cs="Arial"/>
                <w:sz w:val="20"/>
                <w:szCs w:val="20"/>
              </w:rPr>
            </w:pPr>
            <w:r w:rsidRPr="00BA73D9">
              <w:rPr>
                <w:rFonts w:ascii="Aptos" w:hAnsi="Aptos" w:cs="Arial"/>
                <w:sz w:val="20"/>
                <w:szCs w:val="20"/>
              </w:rPr>
              <w:t>Death</w:t>
            </w:r>
          </w:p>
        </w:tc>
      </w:tr>
      <w:tr w:rsidR="008A36ED" w:rsidRPr="00BA73D9" w14:paraId="5E09CAF9" w14:textId="77777777" w:rsidTr="007D2B7D">
        <w:trPr>
          <w:jc w:val="center"/>
        </w:trPr>
        <w:tc>
          <w:tcPr>
            <w:tcW w:w="1710" w:type="dxa"/>
            <w:tcBorders>
              <w:top w:val="single" w:sz="6" w:space="0" w:color="auto"/>
              <w:left w:val="single" w:sz="12" w:space="0" w:color="auto"/>
              <w:bottom w:val="single" w:sz="6" w:space="0" w:color="auto"/>
              <w:right w:val="single" w:sz="6" w:space="0" w:color="auto"/>
            </w:tcBorders>
            <w:shd w:val="clear" w:color="auto" w:fill="CCFFCC"/>
            <w:hideMark/>
          </w:tcPr>
          <w:p w14:paraId="0FA519B6" w14:textId="77777777" w:rsidR="008A36ED" w:rsidRPr="00BA73D9" w:rsidRDefault="008A36ED" w:rsidP="007D2B7D">
            <w:pPr>
              <w:jc w:val="center"/>
              <w:rPr>
                <w:rFonts w:ascii="Aptos" w:hAnsi="Aptos" w:cs="Arial"/>
                <w:sz w:val="20"/>
                <w:szCs w:val="20"/>
              </w:rPr>
            </w:pPr>
            <w:r w:rsidRPr="00BA73D9">
              <w:rPr>
                <w:rFonts w:ascii="Aptos" w:hAnsi="Aptos" w:cs="Arial"/>
                <w:sz w:val="20"/>
                <w:szCs w:val="20"/>
              </w:rPr>
              <w:t>Improbable</w:t>
            </w:r>
          </w:p>
        </w:tc>
        <w:tc>
          <w:tcPr>
            <w:tcW w:w="810" w:type="dxa"/>
            <w:tcBorders>
              <w:top w:val="single" w:sz="6" w:space="0" w:color="auto"/>
              <w:left w:val="single" w:sz="6" w:space="0" w:color="auto"/>
              <w:bottom w:val="single" w:sz="6" w:space="0" w:color="auto"/>
              <w:right w:val="single" w:sz="6" w:space="0" w:color="auto"/>
            </w:tcBorders>
            <w:hideMark/>
          </w:tcPr>
          <w:p w14:paraId="4BD818C8"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2</w:t>
            </w:r>
          </w:p>
        </w:tc>
        <w:tc>
          <w:tcPr>
            <w:tcW w:w="900" w:type="dxa"/>
            <w:tcBorders>
              <w:top w:val="single" w:sz="6" w:space="0" w:color="auto"/>
              <w:left w:val="single" w:sz="6" w:space="0" w:color="auto"/>
              <w:bottom w:val="single" w:sz="6" w:space="0" w:color="auto"/>
              <w:right w:val="single" w:sz="6" w:space="0" w:color="auto"/>
            </w:tcBorders>
            <w:hideMark/>
          </w:tcPr>
          <w:p w14:paraId="3C3B9D4E"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4</w:t>
            </w:r>
          </w:p>
        </w:tc>
        <w:tc>
          <w:tcPr>
            <w:tcW w:w="825" w:type="dxa"/>
            <w:tcBorders>
              <w:top w:val="single" w:sz="6" w:space="0" w:color="auto"/>
              <w:left w:val="single" w:sz="6" w:space="0" w:color="auto"/>
              <w:bottom w:val="single" w:sz="6" w:space="0" w:color="auto"/>
              <w:right w:val="single" w:sz="6" w:space="0" w:color="auto"/>
            </w:tcBorders>
            <w:hideMark/>
          </w:tcPr>
          <w:p w14:paraId="560E7B59"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6</w:t>
            </w:r>
          </w:p>
        </w:tc>
        <w:tc>
          <w:tcPr>
            <w:tcW w:w="630" w:type="dxa"/>
            <w:tcBorders>
              <w:top w:val="single" w:sz="6" w:space="0" w:color="auto"/>
              <w:left w:val="single" w:sz="6" w:space="0" w:color="auto"/>
              <w:bottom w:val="single" w:sz="6" w:space="0" w:color="auto"/>
              <w:right w:val="single" w:sz="6" w:space="0" w:color="auto"/>
            </w:tcBorders>
            <w:shd w:val="clear" w:color="auto" w:fill="CCCCCC"/>
            <w:hideMark/>
          </w:tcPr>
          <w:p w14:paraId="049EE026"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8</w:t>
            </w:r>
          </w:p>
        </w:tc>
      </w:tr>
      <w:tr w:rsidR="008A36ED" w:rsidRPr="00BA73D9" w14:paraId="33A2D804" w14:textId="77777777" w:rsidTr="007D2B7D">
        <w:trPr>
          <w:jc w:val="center"/>
        </w:trPr>
        <w:tc>
          <w:tcPr>
            <w:tcW w:w="1710" w:type="dxa"/>
            <w:tcBorders>
              <w:top w:val="single" w:sz="6" w:space="0" w:color="auto"/>
              <w:left w:val="single" w:sz="12" w:space="0" w:color="auto"/>
              <w:bottom w:val="single" w:sz="6" w:space="0" w:color="auto"/>
              <w:right w:val="single" w:sz="6" w:space="0" w:color="auto"/>
            </w:tcBorders>
            <w:shd w:val="clear" w:color="auto" w:fill="CCFFCC"/>
            <w:hideMark/>
          </w:tcPr>
          <w:p w14:paraId="38BCA300" w14:textId="77777777" w:rsidR="008A36ED" w:rsidRPr="00BA73D9" w:rsidRDefault="008A36ED" w:rsidP="007D2B7D">
            <w:pPr>
              <w:jc w:val="center"/>
              <w:rPr>
                <w:rFonts w:ascii="Aptos" w:hAnsi="Aptos" w:cs="Arial"/>
                <w:sz w:val="20"/>
                <w:szCs w:val="20"/>
              </w:rPr>
            </w:pPr>
            <w:r w:rsidRPr="00BA73D9">
              <w:rPr>
                <w:rFonts w:ascii="Aptos" w:hAnsi="Aptos" w:cs="Arial"/>
                <w:sz w:val="20"/>
                <w:szCs w:val="20"/>
              </w:rPr>
              <w:t>Possible</w:t>
            </w:r>
          </w:p>
        </w:tc>
        <w:tc>
          <w:tcPr>
            <w:tcW w:w="810" w:type="dxa"/>
            <w:tcBorders>
              <w:top w:val="single" w:sz="6" w:space="0" w:color="auto"/>
              <w:left w:val="single" w:sz="6" w:space="0" w:color="auto"/>
              <w:bottom w:val="single" w:sz="6" w:space="0" w:color="auto"/>
              <w:right w:val="single" w:sz="6" w:space="0" w:color="auto"/>
            </w:tcBorders>
            <w:hideMark/>
          </w:tcPr>
          <w:p w14:paraId="37C60A19"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4</w:t>
            </w:r>
          </w:p>
        </w:tc>
        <w:tc>
          <w:tcPr>
            <w:tcW w:w="900" w:type="dxa"/>
            <w:tcBorders>
              <w:top w:val="single" w:sz="6" w:space="0" w:color="auto"/>
              <w:left w:val="single" w:sz="6" w:space="0" w:color="auto"/>
              <w:bottom w:val="single" w:sz="6" w:space="0" w:color="auto"/>
              <w:right w:val="single" w:sz="6" w:space="0" w:color="auto"/>
            </w:tcBorders>
            <w:hideMark/>
          </w:tcPr>
          <w:p w14:paraId="437E256B"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6</w:t>
            </w:r>
          </w:p>
        </w:tc>
        <w:tc>
          <w:tcPr>
            <w:tcW w:w="825" w:type="dxa"/>
            <w:tcBorders>
              <w:top w:val="single" w:sz="6" w:space="0" w:color="auto"/>
              <w:left w:val="single" w:sz="6" w:space="0" w:color="auto"/>
              <w:bottom w:val="single" w:sz="6" w:space="0" w:color="auto"/>
              <w:right w:val="single" w:sz="6" w:space="0" w:color="auto"/>
            </w:tcBorders>
            <w:shd w:val="clear" w:color="auto" w:fill="CCCCCC"/>
            <w:hideMark/>
          </w:tcPr>
          <w:p w14:paraId="596E4686"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8</w:t>
            </w:r>
          </w:p>
        </w:tc>
        <w:tc>
          <w:tcPr>
            <w:tcW w:w="630" w:type="dxa"/>
            <w:tcBorders>
              <w:top w:val="single" w:sz="6" w:space="0" w:color="auto"/>
              <w:left w:val="single" w:sz="6" w:space="0" w:color="auto"/>
              <w:bottom w:val="single" w:sz="6" w:space="0" w:color="auto"/>
              <w:right w:val="single" w:sz="6" w:space="0" w:color="auto"/>
            </w:tcBorders>
            <w:shd w:val="clear" w:color="auto" w:fill="CCCCCC"/>
            <w:hideMark/>
          </w:tcPr>
          <w:p w14:paraId="7694558C"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10</w:t>
            </w:r>
          </w:p>
        </w:tc>
      </w:tr>
      <w:tr w:rsidR="008A36ED" w:rsidRPr="00BA73D9" w14:paraId="6FDD4072" w14:textId="77777777" w:rsidTr="007D2B7D">
        <w:trPr>
          <w:jc w:val="center"/>
        </w:trPr>
        <w:tc>
          <w:tcPr>
            <w:tcW w:w="1710" w:type="dxa"/>
            <w:tcBorders>
              <w:top w:val="single" w:sz="6" w:space="0" w:color="auto"/>
              <w:left w:val="single" w:sz="12" w:space="0" w:color="auto"/>
              <w:bottom w:val="single" w:sz="6" w:space="0" w:color="auto"/>
              <w:right w:val="single" w:sz="6" w:space="0" w:color="auto"/>
            </w:tcBorders>
            <w:shd w:val="clear" w:color="auto" w:fill="CCFFCC"/>
            <w:hideMark/>
          </w:tcPr>
          <w:p w14:paraId="0945EA8C" w14:textId="77777777" w:rsidR="008A36ED" w:rsidRPr="00BA73D9" w:rsidRDefault="008A36ED" w:rsidP="007D2B7D">
            <w:pPr>
              <w:jc w:val="center"/>
              <w:rPr>
                <w:rFonts w:ascii="Aptos" w:hAnsi="Aptos" w:cs="Arial"/>
                <w:sz w:val="20"/>
                <w:szCs w:val="20"/>
              </w:rPr>
            </w:pPr>
            <w:r w:rsidRPr="00BA73D9">
              <w:rPr>
                <w:rFonts w:ascii="Aptos" w:hAnsi="Aptos" w:cs="Arial"/>
                <w:sz w:val="20"/>
                <w:szCs w:val="20"/>
              </w:rPr>
              <w:t>Occasional</w:t>
            </w:r>
          </w:p>
        </w:tc>
        <w:tc>
          <w:tcPr>
            <w:tcW w:w="810" w:type="dxa"/>
            <w:tcBorders>
              <w:top w:val="single" w:sz="6" w:space="0" w:color="auto"/>
              <w:left w:val="single" w:sz="6" w:space="0" w:color="auto"/>
              <w:bottom w:val="single" w:sz="6" w:space="0" w:color="auto"/>
              <w:right w:val="single" w:sz="6" w:space="0" w:color="auto"/>
            </w:tcBorders>
            <w:hideMark/>
          </w:tcPr>
          <w:p w14:paraId="5A43AF36"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6</w:t>
            </w:r>
          </w:p>
        </w:tc>
        <w:tc>
          <w:tcPr>
            <w:tcW w:w="900" w:type="dxa"/>
            <w:tcBorders>
              <w:top w:val="single" w:sz="6" w:space="0" w:color="auto"/>
              <w:left w:val="single" w:sz="6" w:space="0" w:color="auto"/>
              <w:bottom w:val="single" w:sz="6" w:space="0" w:color="auto"/>
              <w:right w:val="single" w:sz="6" w:space="0" w:color="auto"/>
            </w:tcBorders>
            <w:shd w:val="clear" w:color="auto" w:fill="CCCCCC"/>
            <w:hideMark/>
          </w:tcPr>
          <w:p w14:paraId="71A586DA"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8</w:t>
            </w:r>
          </w:p>
        </w:tc>
        <w:tc>
          <w:tcPr>
            <w:tcW w:w="825" w:type="dxa"/>
            <w:tcBorders>
              <w:top w:val="single" w:sz="6" w:space="0" w:color="auto"/>
              <w:left w:val="single" w:sz="6" w:space="0" w:color="auto"/>
              <w:bottom w:val="single" w:sz="6" w:space="0" w:color="auto"/>
              <w:right w:val="single" w:sz="6" w:space="0" w:color="auto"/>
            </w:tcBorders>
            <w:shd w:val="clear" w:color="auto" w:fill="CCCCCC"/>
            <w:hideMark/>
          </w:tcPr>
          <w:p w14:paraId="76334A09"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10</w:t>
            </w:r>
          </w:p>
        </w:tc>
        <w:tc>
          <w:tcPr>
            <w:tcW w:w="630" w:type="dxa"/>
            <w:tcBorders>
              <w:top w:val="single" w:sz="6" w:space="0" w:color="auto"/>
              <w:left w:val="single" w:sz="6" w:space="0" w:color="auto"/>
              <w:bottom w:val="single" w:sz="6" w:space="0" w:color="auto"/>
              <w:right w:val="single" w:sz="6" w:space="0" w:color="auto"/>
            </w:tcBorders>
            <w:shd w:val="clear" w:color="auto" w:fill="CCCCCC"/>
            <w:hideMark/>
          </w:tcPr>
          <w:p w14:paraId="28AC2A3D"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12</w:t>
            </w:r>
          </w:p>
        </w:tc>
      </w:tr>
      <w:tr w:rsidR="008A36ED" w:rsidRPr="00BA73D9" w14:paraId="7EEAC92B" w14:textId="77777777" w:rsidTr="007D2B7D">
        <w:trPr>
          <w:jc w:val="center"/>
        </w:trPr>
        <w:tc>
          <w:tcPr>
            <w:tcW w:w="1710" w:type="dxa"/>
            <w:tcBorders>
              <w:top w:val="single" w:sz="6" w:space="0" w:color="auto"/>
              <w:left w:val="single" w:sz="12" w:space="0" w:color="auto"/>
              <w:bottom w:val="single" w:sz="6" w:space="0" w:color="auto"/>
              <w:right w:val="single" w:sz="6" w:space="0" w:color="auto"/>
            </w:tcBorders>
            <w:shd w:val="clear" w:color="auto" w:fill="CCFFCC"/>
            <w:hideMark/>
          </w:tcPr>
          <w:p w14:paraId="15FE50E6" w14:textId="77777777" w:rsidR="008A36ED" w:rsidRPr="00BA73D9" w:rsidRDefault="008A36ED" w:rsidP="007D2B7D">
            <w:pPr>
              <w:jc w:val="center"/>
              <w:rPr>
                <w:rFonts w:ascii="Aptos" w:hAnsi="Aptos" w:cs="Arial"/>
                <w:sz w:val="20"/>
                <w:szCs w:val="20"/>
              </w:rPr>
            </w:pPr>
            <w:r w:rsidRPr="00BA73D9">
              <w:rPr>
                <w:rFonts w:ascii="Aptos" w:hAnsi="Aptos" w:cs="Arial"/>
                <w:sz w:val="20"/>
                <w:szCs w:val="20"/>
              </w:rPr>
              <w:t>Regular</w:t>
            </w:r>
          </w:p>
        </w:tc>
        <w:tc>
          <w:tcPr>
            <w:tcW w:w="810" w:type="dxa"/>
            <w:tcBorders>
              <w:top w:val="single" w:sz="6" w:space="0" w:color="auto"/>
              <w:left w:val="single" w:sz="6" w:space="0" w:color="auto"/>
              <w:bottom w:val="single" w:sz="6" w:space="0" w:color="auto"/>
              <w:right w:val="single" w:sz="6" w:space="0" w:color="auto"/>
            </w:tcBorders>
            <w:shd w:val="clear" w:color="auto" w:fill="CCCCCC"/>
            <w:hideMark/>
          </w:tcPr>
          <w:p w14:paraId="58724837"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8</w:t>
            </w:r>
          </w:p>
        </w:tc>
        <w:tc>
          <w:tcPr>
            <w:tcW w:w="900" w:type="dxa"/>
            <w:tcBorders>
              <w:top w:val="single" w:sz="6" w:space="0" w:color="auto"/>
              <w:left w:val="single" w:sz="6" w:space="0" w:color="auto"/>
              <w:bottom w:val="single" w:sz="6" w:space="0" w:color="auto"/>
              <w:right w:val="single" w:sz="6" w:space="0" w:color="auto"/>
            </w:tcBorders>
            <w:shd w:val="clear" w:color="auto" w:fill="CCCCCC"/>
            <w:hideMark/>
          </w:tcPr>
          <w:p w14:paraId="33495CD1"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10</w:t>
            </w:r>
          </w:p>
        </w:tc>
        <w:tc>
          <w:tcPr>
            <w:tcW w:w="825" w:type="dxa"/>
            <w:tcBorders>
              <w:top w:val="single" w:sz="6" w:space="0" w:color="auto"/>
              <w:left w:val="single" w:sz="6" w:space="0" w:color="auto"/>
              <w:bottom w:val="single" w:sz="6" w:space="0" w:color="auto"/>
              <w:right w:val="single" w:sz="6" w:space="0" w:color="auto"/>
            </w:tcBorders>
            <w:shd w:val="clear" w:color="auto" w:fill="CCCCCC"/>
            <w:hideMark/>
          </w:tcPr>
          <w:p w14:paraId="207A9AEA"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12</w:t>
            </w:r>
          </w:p>
        </w:tc>
        <w:tc>
          <w:tcPr>
            <w:tcW w:w="630" w:type="dxa"/>
            <w:tcBorders>
              <w:top w:val="single" w:sz="6" w:space="0" w:color="auto"/>
              <w:left w:val="single" w:sz="6" w:space="0" w:color="auto"/>
              <w:bottom w:val="single" w:sz="6" w:space="0" w:color="auto"/>
              <w:right w:val="single" w:sz="6" w:space="0" w:color="auto"/>
            </w:tcBorders>
            <w:shd w:val="clear" w:color="auto" w:fill="CCCCCC"/>
            <w:hideMark/>
          </w:tcPr>
          <w:p w14:paraId="1A95C672" w14:textId="77777777" w:rsidR="008A36ED" w:rsidRPr="00BA73D9" w:rsidRDefault="008A36ED" w:rsidP="007D2B7D">
            <w:pPr>
              <w:jc w:val="center"/>
              <w:rPr>
                <w:rFonts w:ascii="Aptos" w:hAnsi="Aptos" w:cs="Arial"/>
                <w:color w:val="000000"/>
                <w:sz w:val="20"/>
                <w:szCs w:val="20"/>
              </w:rPr>
            </w:pPr>
            <w:r w:rsidRPr="00BA73D9">
              <w:rPr>
                <w:rFonts w:ascii="Aptos" w:hAnsi="Aptos" w:cs="Arial"/>
                <w:color w:val="000000"/>
                <w:sz w:val="20"/>
                <w:szCs w:val="20"/>
              </w:rPr>
              <w:t>14</w:t>
            </w:r>
          </w:p>
        </w:tc>
      </w:tr>
    </w:tbl>
    <w:p w14:paraId="10347AF3" w14:textId="77777777" w:rsidR="008A36ED" w:rsidRPr="00BA73D9" w:rsidRDefault="008A36ED" w:rsidP="008A36ED">
      <w:pPr>
        <w:jc w:val="center"/>
        <w:rPr>
          <w:rFonts w:ascii="Aptos" w:hAnsi="Aptos" w:cs="Arial"/>
          <w:sz w:val="20"/>
          <w:szCs w:val="20"/>
        </w:rPr>
      </w:pPr>
    </w:p>
    <w:p w14:paraId="485D6736" w14:textId="77777777" w:rsidR="008A36ED" w:rsidRPr="00BA73D9" w:rsidRDefault="008A36ED" w:rsidP="008A36ED">
      <w:pPr>
        <w:rPr>
          <w:rFonts w:ascii="Aptos" w:hAnsi="Aptos" w:cs="Arial"/>
          <w:sz w:val="20"/>
          <w:szCs w:val="20"/>
        </w:rPr>
      </w:pPr>
      <w:r w:rsidRPr="00BA73D9">
        <w:rPr>
          <w:rFonts w:ascii="Aptos" w:hAnsi="Aptos" w:cs="Arial"/>
          <w:sz w:val="20"/>
          <w:szCs w:val="20"/>
        </w:rPr>
        <w:t xml:space="preserve">For simplicity, descriptors of severity were chosen reflecting physical harm to </w:t>
      </w:r>
      <w:proofErr w:type="gramStart"/>
      <w:r w:rsidRPr="00BA73D9">
        <w:rPr>
          <w:rFonts w:ascii="Aptos" w:hAnsi="Aptos" w:cs="Arial"/>
          <w:sz w:val="20"/>
          <w:szCs w:val="20"/>
        </w:rPr>
        <w:t>persons</w:t>
      </w:r>
      <w:proofErr w:type="gramEnd"/>
      <w:r w:rsidRPr="00BA73D9">
        <w:rPr>
          <w:rFonts w:ascii="Aptos" w:hAnsi="Aptos" w:cs="Arial"/>
          <w:sz w:val="20"/>
          <w:szCs w:val="20"/>
        </w:rPr>
        <w:t xml:space="preserve"> but it should be noted that these severity ratings may also apply to many categories of harm; harm to the environment or reputation for example.</w:t>
      </w:r>
    </w:p>
    <w:p w14:paraId="424D5F87" w14:textId="77777777" w:rsidR="008A36ED" w:rsidRPr="00BA73D9" w:rsidRDefault="008A36ED" w:rsidP="008A36ED">
      <w:pPr>
        <w:rPr>
          <w:rFonts w:ascii="Aptos" w:hAnsi="Aptos" w:cs="Arial"/>
          <w:sz w:val="20"/>
          <w:szCs w:val="20"/>
        </w:rPr>
      </w:pPr>
    </w:p>
    <w:p w14:paraId="2D56A0E0" w14:textId="77777777" w:rsidR="008A36ED" w:rsidRPr="00BA73D9" w:rsidRDefault="008A36ED" w:rsidP="008A36ED">
      <w:pPr>
        <w:rPr>
          <w:rFonts w:ascii="Aptos" w:hAnsi="Aptos" w:cs="Arial"/>
          <w:sz w:val="20"/>
          <w:szCs w:val="20"/>
        </w:rPr>
      </w:pPr>
      <w:r w:rsidRPr="00BA73D9">
        <w:rPr>
          <w:rFonts w:ascii="Aptos" w:hAnsi="Aptos" w:cs="Arial"/>
          <w:sz w:val="20"/>
          <w:szCs w:val="20"/>
        </w:rPr>
        <w:t xml:space="preserve">When allotting scores to the intersection of likelihood x severity, improbable was considered </w:t>
      </w:r>
      <w:proofErr w:type="gramStart"/>
      <w:r w:rsidRPr="00BA73D9">
        <w:rPr>
          <w:rFonts w:ascii="Aptos" w:hAnsi="Aptos" w:cs="Arial"/>
          <w:sz w:val="20"/>
          <w:szCs w:val="20"/>
        </w:rPr>
        <w:t>first of all</w:t>
      </w:r>
      <w:proofErr w:type="gramEnd"/>
      <w:r w:rsidRPr="00BA73D9">
        <w:rPr>
          <w:rFonts w:ascii="Aptos" w:hAnsi="Aptos" w:cs="Arial"/>
          <w:sz w:val="20"/>
          <w:szCs w:val="20"/>
        </w:rPr>
        <w:t xml:space="preserve"> and a score of 2 was given to show the significance of an improbable trivial event. A score of 4 was given to an improbable minor event to acknowledge that although the event was improbable, a minor was worse than a trivial and so forth.</w:t>
      </w:r>
    </w:p>
    <w:p w14:paraId="6F667B40" w14:textId="77777777" w:rsidR="008A36ED" w:rsidRPr="00BA73D9" w:rsidRDefault="008A36ED" w:rsidP="008A36ED">
      <w:pPr>
        <w:rPr>
          <w:rFonts w:ascii="Aptos" w:hAnsi="Aptos" w:cs="Arial"/>
          <w:sz w:val="20"/>
          <w:szCs w:val="20"/>
        </w:rPr>
      </w:pPr>
    </w:p>
    <w:p w14:paraId="49934A33" w14:textId="77777777" w:rsidR="008A36ED" w:rsidRPr="00BA73D9" w:rsidRDefault="008A36ED" w:rsidP="008A36ED">
      <w:pPr>
        <w:rPr>
          <w:rFonts w:ascii="Aptos" w:hAnsi="Aptos" w:cs="Arial"/>
          <w:sz w:val="20"/>
          <w:szCs w:val="20"/>
        </w:rPr>
      </w:pPr>
      <w:r w:rsidRPr="00BA73D9">
        <w:rPr>
          <w:rFonts w:ascii="Aptos" w:hAnsi="Aptos" w:cs="Arial"/>
          <w:sz w:val="20"/>
          <w:szCs w:val="20"/>
        </w:rPr>
        <w:t>This process was repeated for each category. Where more than one intersection bears the same significance rating, the assumption is that each factor, although different, would be equally undesirable. For example, a regular minor incident has equal undesirability to an occasional major incident.</w:t>
      </w:r>
    </w:p>
    <w:p w14:paraId="32925B6C" w14:textId="77777777" w:rsidR="008A36ED" w:rsidRPr="00BA73D9" w:rsidRDefault="008A36ED" w:rsidP="008A36ED">
      <w:pPr>
        <w:rPr>
          <w:rFonts w:ascii="Aptos" w:hAnsi="Aptos" w:cs="Arial"/>
          <w:sz w:val="20"/>
          <w:szCs w:val="20"/>
        </w:rPr>
      </w:pPr>
    </w:p>
    <w:p w14:paraId="33CA105B" w14:textId="77777777" w:rsidR="008A36ED" w:rsidRPr="00BA73D9" w:rsidRDefault="008A36ED" w:rsidP="008A36ED">
      <w:pPr>
        <w:rPr>
          <w:rFonts w:ascii="Aptos" w:hAnsi="Aptos" w:cs="Arial"/>
          <w:b/>
          <w:bCs/>
          <w:sz w:val="20"/>
          <w:szCs w:val="20"/>
        </w:rPr>
      </w:pPr>
      <w:r w:rsidRPr="00BA73D9">
        <w:rPr>
          <w:rFonts w:ascii="Aptos" w:hAnsi="Aptos" w:cs="Arial"/>
          <w:b/>
          <w:bCs/>
          <w:sz w:val="20"/>
          <w:szCs w:val="20"/>
        </w:rPr>
        <w:t>Process:</w:t>
      </w:r>
    </w:p>
    <w:p w14:paraId="69E24FE4" w14:textId="77777777" w:rsidR="008A36ED" w:rsidRPr="00BA73D9" w:rsidRDefault="008A36ED" w:rsidP="008A36ED">
      <w:pPr>
        <w:rPr>
          <w:rFonts w:ascii="Aptos" w:hAnsi="Aptos" w:cs="Arial"/>
          <w:sz w:val="20"/>
          <w:szCs w:val="20"/>
        </w:rPr>
      </w:pPr>
    </w:p>
    <w:p w14:paraId="2A1FE00E" w14:textId="77777777" w:rsidR="008A36ED" w:rsidRPr="00BA73D9" w:rsidRDefault="008A36ED" w:rsidP="008A36ED">
      <w:pPr>
        <w:rPr>
          <w:rFonts w:ascii="Aptos" w:hAnsi="Aptos" w:cs="Arial"/>
          <w:sz w:val="20"/>
          <w:szCs w:val="20"/>
        </w:rPr>
      </w:pPr>
      <w:r w:rsidRPr="00BA73D9">
        <w:rPr>
          <w:rFonts w:ascii="Aptos" w:hAnsi="Aptos" w:cs="Arial"/>
          <w:sz w:val="20"/>
          <w:szCs w:val="20"/>
        </w:rPr>
        <w:t>This process describes the development of our generic risk assessments.</w:t>
      </w:r>
    </w:p>
    <w:p w14:paraId="23E34717" w14:textId="77777777" w:rsidR="008A36ED" w:rsidRPr="00BA73D9" w:rsidRDefault="008A36ED" w:rsidP="008A36ED">
      <w:pPr>
        <w:rPr>
          <w:rFonts w:ascii="Aptos" w:hAnsi="Aptos" w:cs="Arial"/>
          <w:sz w:val="20"/>
          <w:szCs w:val="20"/>
        </w:rPr>
      </w:pPr>
    </w:p>
    <w:p w14:paraId="612AF434" w14:textId="77777777" w:rsidR="008A36ED" w:rsidRPr="00BA73D9" w:rsidRDefault="008A36ED" w:rsidP="008A36ED">
      <w:pPr>
        <w:jc w:val="center"/>
        <w:rPr>
          <w:rFonts w:ascii="Aptos" w:hAnsi="Aptos" w:cs="Arial"/>
          <w:sz w:val="20"/>
          <w:szCs w:val="20"/>
        </w:rPr>
      </w:pPr>
    </w:p>
    <w:p w14:paraId="47E7473B" w14:textId="77777777" w:rsidR="00B07553" w:rsidRPr="00BA73D9" w:rsidRDefault="00B07553" w:rsidP="008A36ED">
      <w:pPr>
        <w:jc w:val="center"/>
        <w:rPr>
          <w:rFonts w:ascii="Aptos" w:hAnsi="Aptos" w:cs="Arial"/>
          <w:sz w:val="20"/>
          <w:szCs w:val="20"/>
        </w:rPr>
      </w:pPr>
    </w:p>
    <w:p w14:paraId="0EA48232" w14:textId="77777777" w:rsidR="00B07553" w:rsidRPr="00BA73D9" w:rsidRDefault="00B07553" w:rsidP="008A36ED">
      <w:pPr>
        <w:jc w:val="center"/>
        <w:rPr>
          <w:rFonts w:ascii="Aptos" w:hAnsi="Aptos" w:cs="Arial"/>
          <w:sz w:val="20"/>
          <w:szCs w:val="20"/>
        </w:rPr>
      </w:pPr>
    </w:p>
    <w:p w14:paraId="582370E2" w14:textId="77777777" w:rsidR="00B07553" w:rsidRPr="00BA73D9" w:rsidRDefault="00B07553" w:rsidP="008A36ED">
      <w:pPr>
        <w:jc w:val="center"/>
        <w:rPr>
          <w:rFonts w:ascii="Aptos" w:hAnsi="Aptos" w:cs="Arial"/>
          <w:sz w:val="20"/>
          <w:szCs w:val="20"/>
        </w:rPr>
      </w:pPr>
    </w:p>
    <w:p w14:paraId="62AE7B32" w14:textId="77777777" w:rsidR="00B07553" w:rsidRPr="00BA73D9" w:rsidRDefault="00B07553" w:rsidP="008A36ED">
      <w:pPr>
        <w:jc w:val="center"/>
        <w:rPr>
          <w:rFonts w:ascii="Aptos" w:hAnsi="Aptos" w:cs="Arial"/>
          <w:sz w:val="20"/>
          <w:szCs w:val="20"/>
        </w:rPr>
      </w:pPr>
    </w:p>
    <w:p w14:paraId="5AB918FC" w14:textId="77777777" w:rsidR="00B07553" w:rsidRPr="00BA73D9" w:rsidRDefault="00B07553" w:rsidP="008A36ED">
      <w:pPr>
        <w:jc w:val="center"/>
        <w:rPr>
          <w:rFonts w:ascii="Aptos" w:hAnsi="Aptos" w:cs="Arial"/>
          <w:sz w:val="20"/>
          <w:szCs w:val="20"/>
        </w:rPr>
      </w:pPr>
    </w:p>
    <w:p w14:paraId="0A006400" w14:textId="77777777" w:rsidR="00B07553" w:rsidRPr="00BA73D9" w:rsidRDefault="00B07553" w:rsidP="008A36ED">
      <w:pPr>
        <w:jc w:val="center"/>
        <w:rPr>
          <w:rFonts w:ascii="Aptos" w:hAnsi="Aptos" w:cs="Arial"/>
          <w:sz w:val="20"/>
          <w:szCs w:val="20"/>
        </w:rPr>
      </w:pPr>
    </w:p>
    <w:p w14:paraId="4C090F6B" w14:textId="77777777" w:rsidR="008A36ED" w:rsidRPr="00BA73D9" w:rsidRDefault="00B07553" w:rsidP="008A36ED">
      <w:pPr>
        <w:rPr>
          <w:rFonts w:ascii="Aptos" w:hAnsi="Aptos" w:cs="Arial"/>
          <w:sz w:val="20"/>
          <w:szCs w:val="20"/>
        </w:rPr>
      </w:pPr>
      <w:r w:rsidRPr="00BA73D9">
        <w:rPr>
          <w:rFonts w:ascii="Aptos" w:hAnsi="Aptos" w:cs="Arial"/>
          <w:noProof/>
          <w:sz w:val="20"/>
          <w:szCs w:val="20"/>
        </w:rPr>
        <w:lastRenderedPageBreak/>
        <w:drawing>
          <wp:inline distT="0" distB="0" distL="0" distR="0" wp14:anchorId="5BFF987A" wp14:editId="6C317DBB">
            <wp:extent cx="4445000" cy="7302500"/>
            <wp:effectExtent l="0" t="0" r="0" b="0"/>
            <wp:docPr id="530119796" name="Picture 3" descr="A diagram of a risk management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19796" name="Picture 3" descr="A diagram of a risk management process&#10;&#10;Description automatically generated"/>
                    <pic:cNvPicPr/>
                  </pic:nvPicPr>
                  <pic:blipFill>
                    <a:blip r:embed="rId8"/>
                    <a:stretch>
                      <a:fillRect/>
                    </a:stretch>
                  </pic:blipFill>
                  <pic:spPr>
                    <a:xfrm>
                      <a:off x="0" y="0"/>
                      <a:ext cx="4445000" cy="7302500"/>
                    </a:xfrm>
                    <a:prstGeom prst="rect">
                      <a:avLst/>
                    </a:prstGeom>
                  </pic:spPr>
                </pic:pic>
              </a:graphicData>
            </a:graphic>
          </wp:inline>
        </w:drawing>
      </w:r>
    </w:p>
    <w:p w14:paraId="12A15749" w14:textId="77777777" w:rsidR="008A36ED" w:rsidRPr="00BA73D9" w:rsidRDefault="008A36ED" w:rsidP="008A36ED">
      <w:pPr>
        <w:rPr>
          <w:rFonts w:ascii="Aptos" w:hAnsi="Aptos" w:cs="Arial"/>
          <w:sz w:val="20"/>
          <w:szCs w:val="20"/>
        </w:rPr>
      </w:pPr>
    </w:p>
    <w:p w14:paraId="529E5613" w14:textId="77777777" w:rsidR="008A36ED" w:rsidRPr="00BA73D9" w:rsidRDefault="008A36ED" w:rsidP="008A36ED">
      <w:pPr>
        <w:rPr>
          <w:rFonts w:ascii="Aptos" w:hAnsi="Aptos" w:cs="Arial"/>
          <w:b/>
          <w:sz w:val="20"/>
          <w:szCs w:val="20"/>
        </w:rPr>
      </w:pPr>
      <w:r w:rsidRPr="00BA73D9">
        <w:rPr>
          <w:rFonts w:ascii="Aptos" w:hAnsi="Aptos" w:cs="Arial"/>
          <w:b/>
          <w:sz w:val="20"/>
          <w:szCs w:val="20"/>
        </w:rPr>
        <w:br w:type="page"/>
      </w:r>
      <w:r w:rsidRPr="00BA73D9">
        <w:rPr>
          <w:rFonts w:ascii="Aptos" w:hAnsi="Aptos" w:cs="Arial"/>
          <w:b/>
          <w:sz w:val="20"/>
          <w:szCs w:val="20"/>
        </w:rPr>
        <w:lastRenderedPageBreak/>
        <w:t>Specific Risk Assessment:</w:t>
      </w:r>
    </w:p>
    <w:p w14:paraId="1F58E67A" w14:textId="77777777" w:rsidR="008A36ED" w:rsidRPr="00BA73D9" w:rsidRDefault="008A36ED" w:rsidP="008A36ED">
      <w:pPr>
        <w:rPr>
          <w:rFonts w:ascii="Aptos" w:hAnsi="Aptos" w:cs="Arial"/>
          <w:sz w:val="20"/>
          <w:szCs w:val="20"/>
        </w:rPr>
      </w:pPr>
    </w:p>
    <w:p w14:paraId="308EAC6A" w14:textId="77777777" w:rsidR="008A36ED" w:rsidRPr="00BA73D9" w:rsidRDefault="008A36ED" w:rsidP="008A36ED">
      <w:pPr>
        <w:rPr>
          <w:rFonts w:ascii="Aptos" w:hAnsi="Aptos" w:cs="Arial"/>
          <w:sz w:val="20"/>
          <w:szCs w:val="20"/>
        </w:rPr>
      </w:pPr>
      <w:r w:rsidRPr="00BA73D9">
        <w:rPr>
          <w:rFonts w:ascii="Aptos" w:hAnsi="Aptos" w:cs="Arial"/>
          <w:sz w:val="20"/>
          <w:szCs w:val="20"/>
        </w:rPr>
        <w:t>Specific risks arising from specific situations, the site, the task or the machine in use are noted on a daily risk assessment template.</w:t>
      </w:r>
    </w:p>
    <w:p w14:paraId="6C792D08" w14:textId="77777777" w:rsidR="008A36ED" w:rsidRPr="00BA73D9" w:rsidRDefault="008A36ED" w:rsidP="008A36ED">
      <w:pPr>
        <w:rPr>
          <w:rFonts w:ascii="Aptos" w:hAnsi="Aptos" w:cs="Arial"/>
          <w:sz w:val="20"/>
          <w:szCs w:val="20"/>
        </w:rPr>
      </w:pPr>
    </w:p>
    <w:p w14:paraId="7FC17387" w14:textId="77777777" w:rsidR="008A36ED" w:rsidRPr="00BA73D9" w:rsidRDefault="008A36ED" w:rsidP="008A36ED">
      <w:pPr>
        <w:rPr>
          <w:rFonts w:ascii="Aptos" w:hAnsi="Aptos" w:cs="Arial"/>
          <w:sz w:val="20"/>
          <w:szCs w:val="20"/>
        </w:rPr>
      </w:pPr>
      <w:r w:rsidRPr="00BA73D9">
        <w:rPr>
          <w:rFonts w:ascii="Aptos" w:hAnsi="Aptos" w:cs="Arial"/>
          <w:sz w:val="20"/>
          <w:szCs w:val="20"/>
        </w:rPr>
        <w:t>The template is completed in stages from taking the initial enquiry, through the work survey and upon arrival at the site prior to the start of work. The risk assessment shall be updated if any site factor or aspect of the work plan changes.</w:t>
      </w:r>
    </w:p>
    <w:p w14:paraId="3B7A0A57" w14:textId="77777777" w:rsidR="008A36ED" w:rsidRPr="00BA73D9" w:rsidRDefault="008A36ED" w:rsidP="008A36ED">
      <w:pPr>
        <w:rPr>
          <w:rFonts w:ascii="Aptos" w:hAnsi="Aptos" w:cs="Arial"/>
          <w:sz w:val="20"/>
          <w:szCs w:val="20"/>
        </w:rPr>
      </w:pPr>
    </w:p>
    <w:p w14:paraId="53EB6EAA" w14:textId="77777777" w:rsidR="008A36ED" w:rsidRPr="00BA73D9" w:rsidRDefault="008A36ED" w:rsidP="008A36ED">
      <w:pPr>
        <w:rPr>
          <w:rFonts w:ascii="Aptos" w:hAnsi="Aptos" w:cs="Arial"/>
          <w:sz w:val="20"/>
          <w:szCs w:val="20"/>
        </w:rPr>
      </w:pPr>
      <w:r w:rsidRPr="00BA73D9">
        <w:rPr>
          <w:rFonts w:ascii="Aptos" w:hAnsi="Aptos" w:cs="Arial"/>
          <w:sz w:val="20"/>
          <w:szCs w:val="20"/>
        </w:rPr>
        <w:t>The following diagram shows the sequence of events, working from left to right, from initial information capture through planning the operation to completion of the task.</w:t>
      </w:r>
    </w:p>
    <w:p w14:paraId="0A015F68" w14:textId="77777777" w:rsidR="008A36ED" w:rsidRPr="00BA73D9" w:rsidRDefault="008A36ED" w:rsidP="008A36ED">
      <w:pPr>
        <w:rPr>
          <w:rFonts w:ascii="Aptos" w:hAnsi="Aptos" w:cs="Arial"/>
          <w:sz w:val="20"/>
          <w:szCs w:val="20"/>
        </w:rPr>
      </w:pPr>
    </w:p>
    <w:p w14:paraId="71B5BE9E" w14:textId="77777777" w:rsidR="008A36ED" w:rsidRPr="00BA73D9" w:rsidRDefault="008A36ED" w:rsidP="008A36ED">
      <w:pPr>
        <w:rPr>
          <w:rFonts w:ascii="Aptos" w:hAnsi="Aptos" w:cs="Arial"/>
          <w:sz w:val="20"/>
          <w:szCs w:val="20"/>
        </w:rPr>
      </w:pPr>
    </w:p>
    <w:p w14:paraId="645EA92F" w14:textId="77777777" w:rsidR="008A36ED" w:rsidRPr="00BA73D9" w:rsidRDefault="00D41CCE" w:rsidP="008A36ED">
      <w:pPr>
        <w:rPr>
          <w:rFonts w:ascii="Aptos" w:hAnsi="Aptos" w:cs="Arial"/>
          <w:sz w:val="20"/>
          <w:szCs w:val="20"/>
        </w:rPr>
      </w:pPr>
      <w:r w:rsidRPr="00BA73D9">
        <w:rPr>
          <w:rFonts w:ascii="Aptos" w:hAnsi="Aptos" w:cs="Arial"/>
          <w:noProof/>
          <w:sz w:val="20"/>
          <w:szCs w:val="20"/>
        </w:rPr>
        <w:drawing>
          <wp:inline distT="0" distB="0" distL="0" distR="0" wp14:anchorId="093835EA" wp14:editId="328FAE28">
            <wp:extent cx="5270500" cy="3061970"/>
            <wp:effectExtent l="0" t="0" r="0" b="0"/>
            <wp:docPr id="1900155259" name="Picture 4" descr="A diagram of a construction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55259" name="Picture 4" descr="A diagram of a construction process&#10;&#10;Description automatically generated"/>
                    <pic:cNvPicPr/>
                  </pic:nvPicPr>
                  <pic:blipFill>
                    <a:blip r:embed="rId9"/>
                    <a:stretch>
                      <a:fillRect/>
                    </a:stretch>
                  </pic:blipFill>
                  <pic:spPr>
                    <a:xfrm>
                      <a:off x="0" y="0"/>
                      <a:ext cx="5270500" cy="3061970"/>
                    </a:xfrm>
                    <a:prstGeom prst="rect">
                      <a:avLst/>
                    </a:prstGeom>
                  </pic:spPr>
                </pic:pic>
              </a:graphicData>
            </a:graphic>
          </wp:inline>
        </w:drawing>
      </w:r>
    </w:p>
    <w:p w14:paraId="1E8D5E99" w14:textId="77777777" w:rsidR="008A36ED" w:rsidRPr="00BA73D9" w:rsidRDefault="008A36ED" w:rsidP="008A36ED">
      <w:pPr>
        <w:rPr>
          <w:rFonts w:ascii="Aptos" w:hAnsi="Aptos" w:cs="Arial"/>
          <w:sz w:val="20"/>
          <w:szCs w:val="20"/>
        </w:rPr>
      </w:pPr>
    </w:p>
    <w:p w14:paraId="3072C3FD" w14:textId="77777777" w:rsidR="008A36ED" w:rsidRPr="00BA73D9" w:rsidRDefault="008A36ED" w:rsidP="008A36ED">
      <w:pPr>
        <w:rPr>
          <w:rFonts w:ascii="Aptos" w:hAnsi="Aptos" w:cs="Arial"/>
          <w:sz w:val="20"/>
          <w:szCs w:val="20"/>
        </w:rPr>
      </w:pPr>
      <w:r w:rsidRPr="00BA73D9">
        <w:rPr>
          <w:rFonts w:ascii="Aptos" w:hAnsi="Aptos" w:cs="Arial"/>
          <w:sz w:val="20"/>
          <w:szCs w:val="20"/>
        </w:rPr>
        <w:t xml:space="preserve">The generic risk assessments shown in mauve in the diagram have been included for example purposes. The company maintains a comprehensive suite of generic risk assessments covering </w:t>
      </w:r>
      <w:proofErr w:type="gramStart"/>
      <w:r w:rsidRPr="00BA73D9">
        <w:rPr>
          <w:rFonts w:ascii="Aptos" w:hAnsi="Aptos" w:cs="Arial"/>
          <w:sz w:val="20"/>
          <w:szCs w:val="20"/>
        </w:rPr>
        <w:t>all of</w:t>
      </w:r>
      <w:proofErr w:type="gramEnd"/>
      <w:r w:rsidRPr="00BA73D9">
        <w:rPr>
          <w:rFonts w:ascii="Aptos" w:hAnsi="Aptos" w:cs="Arial"/>
          <w:sz w:val="20"/>
          <w:szCs w:val="20"/>
        </w:rPr>
        <w:t xml:space="preserve"> the operations undertaken.</w:t>
      </w:r>
    </w:p>
    <w:p w14:paraId="3DD5816D" w14:textId="77777777" w:rsidR="008A36ED" w:rsidRPr="00BA73D9" w:rsidRDefault="008A36ED" w:rsidP="008A36ED">
      <w:pPr>
        <w:rPr>
          <w:rFonts w:ascii="Aptos" w:hAnsi="Aptos" w:cs="Arial"/>
          <w:sz w:val="20"/>
          <w:szCs w:val="20"/>
        </w:rPr>
      </w:pPr>
    </w:p>
    <w:p w14:paraId="42D2F522" w14:textId="77777777" w:rsidR="002513FE" w:rsidRPr="00BA73D9" w:rsidRDefault="002513FE" w:rsidP="00CB7309">
      <w:pPr>
        <w:rPr>
          <w:rFonts w:ascii="Aptos" w:hAnsi="Aptos" w:cs="Arial"/>
          <w:b/>
          <w:bCs/>
          <w:sz w:val="20"/>
          <w:szCs w:val="20"/>
          <w:u w:val="single"/>
        </w:rPr>
      </w:pPr>
    </w:p>
    <w:p w14:paraId="3212FE95" w14:textId="77777777" w:rsidR="0090403D" w:rsidRPr="00BA73D9" w:rsidRDefault="00000000">
      <w:pPr>
        <w:rPr>
          <w:rFonts w:ascii="Aptos" w:hAnsi="Aptos"/>
          <w:sz w:val="20"/>
          <w:szCs w:val="20"/>
        </w:rPr>
      </w:pPr>
      <w:r w:rsidRPr="00BA73D9">
        <w:rPr>
          <w:rFonts w:ascii="Aptos" w:hAnsi="Aptos"/>
          <w:b/>
          <w:sz w:val="20"/>
          <w:szCs w:val="20"/>
        </w:rPr>
        <w:t>Method Statements and Risk Assessments:</w:t>
      </w:r>
    </w:p>
    <w:p w14:paraId="1DBD5CD1" w14:textId="77777777" w:rsidR="0090403D" w:rsidRPr="00BA73D9" w:rsidRDefault="0090403D">
      <w:pPr>
        <w:rPr>
          <w:rFonts w:ascii="Aptos" w:hAnsi="Aptos"/>
          <w:sz w:val="20"/>
          <w:szCs w:val="20"/>
        </w:rPr>
      </w:pPr>
    </w:p>
    <w:p w14:paraId="049E8ABB" w14:textId="77777777" w:rsidR="0090403D" w:rsidRPr="00BA73D9" w:rsidRDefault="00000000">
      <w:pPr>
        <w:rPr>
          <w:rFonts w:ascii="Aptos" w:hAnsi="Aptos"/>
          <w:sz w:val="20"/>
          <w:szCs w:val="20"/>
        </w:rPr>
      </w:pPr>
      <w:r w:rsidRPr="00BA73D9">
        <w:rPr>
          <w:rFonts w:ascii="Aptos" w:hAnsi="Aptos"/>
          <w:sz w:val="20"/>
          <w:szCs w:val="20"/>
        </w:rPr>
        <w:t>Where a Method Statement is produced for a job, it incorporates the hazards, controls and standard operating procedures identified within the applicable Generic Risk Assessment(s) and the Site-Specific Risk Assessment, as shown in the Sequence of Events above. Method Statements are written as an instruction to the team undertaking the work and reference the relevant GRA(s) by name; a Method Statement is not issued for work to proceed unless the applicable risk assessments have first been completed and reviewed.</w:t>
      </w:r>
    </w:p>
    <w:p w14:paraId="513CE260" w14:textId="77777777" w:rsidR="0090403D" w:rsidRPr="00BA73D9" w:rsidRDefault="0090403D">
      <w:pPr>
        <w:rPr>
          <w:rFonts w:ascii="Aptos" w:hAnsi="Aptos"/>
          <w:sz w:val="20"/>
          <w:szCs w:val="20"/>
        </w:rPr>
      </w:pPr>
    </w:p>
    <w:p w14:paraId="27C570CA" w14:textId="77777777" w:rsidR="0090403D" w:rsidRPr="00BA73D9" w:rsidRDefault="00000000">
      <w:pPr>
        <w:rPr>
          <w:rFonts w:ascii="Aptos" w:hAnsi="Aptos"/>
          <w:sz w:val="20"/>
          <w:szCs w:val="20"/>
        </w:rPr>
      </w:pPr>
      <w:r w:rsidRPr="00BA73D9">
        <w:rPr>
          <w:rFonts w:ascii="Aptos" w:hAnsi="Aptos"/>
          <w:b/>
          <w:sz w:val="20"/>
          <w:szCs w:val="20"/>
        </w:rPr>
        <w:t>Communication of Risk Assessments:</w:t>
      </w:r>
    </w:p>
    <w:p w14:paraId="5C84CF25" w14:textId="77777777" w:rsidR="0090403D" w:rsidRPr="00BA73D9" w:rsidRDefault="0090403D">
      <w:pPr>
        <w:rPr>
          <w:rFonts w:ascii="Aptos" w:hAnsi="Aptos"/>
          <w:sz w:val="20"/>
          <w:szCs w:val="20"/>
        </w:rPr>
      </w:pPr>
    </w:p>
    <w:p w14:paraId="6E0BAF81" w14:textId="77777777" w:rsidR="0090403D" w:rsidRPr="00BA73D9" w:rsidRDefault="00000000">
      <w:pPr>
        <w:rPr>
          <w:rFonts w:ascii="Aptos" w:hAnsi="Aptos"/>
          <w:sz w:val="20"/>
          <w:szCs w:val="20"/>
        </w:rPr>
      </w:pPr>
      <w:r w:rsidRPr="00BA73D9">
        <w:rPr>
          <w:rFonts w:ascii="Aptos" w:hAnsi="Aptos"/>
          <w:sz w:val="20"/>
          <w:szCs w:val="20"/>
        </w:rPr>
        <w:t>Risk assessments are communicated as follows:</w:t>
      </w:r>
    </w:p>
    <w:p w14:paraId="5158EBBD" w14:textId="77777777" w:rsidR="0090403D" w:rsidRPr="00BA73D9" w:rsidRDefault="0090403D">
      <w:pPr>
        <w:rPr>
          <w:rFonts w:ascii="Aptos" w:hAnsi="Aptos"/>
          <w:sz w:val="20"/>
          <w:szCs w:val="20"/>
        </w:rPr>
      </w:pPr>
    </w:p>
    <w:p w14:paraId="5B587F82" w14:textId="77777777" w:rsidR="0090403D" w:rsidRPr="00BA73D9" w:rsidRDefault="00000000">
      <w:pPr>
        <w:numPr>
          <w:ilvl w:val="0"/>
          <w:numId w:val="3"/>
        </w:numPr>
        <w:rPr>
          <w:rFonts w:ascii="Aptos" w:hAnsi="Aptos" w:cs="Arial"/>
          <w:sz w:val="20"/>
          <w:szCs w:val="20"/>
        </w:rPr>
      </w:pPr>
      <w:r w:rsidRPr="00BA73D9">
        <w:rPr>
          <w:rFonts w:ascii="Aptos" w:hAnsi="Aptos"/>
          <w:sz w:val="20"/>
          <w:szCs w:val="20"/>
        </w:rPr>
        <w:t>Staff and sub-contractors: the Team Leader briefs the team on the Method Statement, emergency plan and applicable risk assessments (including any additional hazards identified on the day) before work starts on site, as shown in the Sequence of Events. Sub-contractors engaged to work alongside or on behalf of the Company are provided with the relevant Method Statement and risk assessments as part of the Job Pack and are included in the Team Leader's briefing.</w:t>
      </w:r>
    </w:p>
    <w:p w14:paraId="6D2093DD" w14:textId="77777777" w:rsidR="0090403D" w:rsidRPr="00BA73D9" w:rsidRDefault="00000000">
      <w:pPr>
        <w:numPr>
          <w:ilvl w:val="0"/>
          <w:numId w:val="3"/>
        </w:numPr>
        <w:rPr>
          <w:rFonts w:ascii="Aptos" w:hAnsi="Aptos" w:cs="Arial"/>
          <w:sz w:val="20"/>
          <w:szCs w:val="20"/>
        </w:rPr>
      </w:pPr>
      <w:r w:rsidRPr="00BA73D9">
        <w:rPr>
          <w:rFonts w:ascii="Aptos" w:hAnsi="Aptos"/>
          <w:sz w:val="20"/>
          <w:szCs w:val="20"/>
        </w:rPr>
        <w:lastRenderedPageBreak/>
        <w:t>Clients: relevant risk assessments are issued to the client within the Client Pack for review, and client approval is obtained before work proceeds, as shown in the Sequence of Events.</w:t>
      </w:r>
    </w:p>
    <w:p w14:paraId="15D565DF" w14:textId="77777777" w:rsidR="0090403D" w:rsidRPr="00BA73D9" w:rsidRDefault="00000000">
      <w:pPr>
        <w:numPr>
          <w:ilvl w:val="0"/>
          <w:numId w:val="3"/>
        </w:numPr>
        <w:rPr>
          <w:rFonts w:ascii="Aptos" w:hAnsi="Aptos" w:cs="Arial"/>
          <w:sz w:val="20"/>
          <w:szCs w:val="20"/>
        </w:rPr>
      </w:pPr>
      <w:r w:rsidRPr="00BA73D9">
        <w:rPr>
          <w:rFonts w:ascii="Aptos" w:hAnsi="Aptos"/>
          <w:sz w:val="20"/>
          <w:szCs w:val="20"/>
        </w:rPr>
        <w:t>Any subsequent change to the task, site conditions or personnel is re-briefed to those affected before work continues.</w:t>
      </w:r>
    </w:p>
    <w:p w14:paraId="104F3CA5" w14:textId="77777777" w:rsidR="004E71D5" w:rsidRDefault="004E71D5">
      <w:pPr>
        <w:rPr>
          <w:rFonts w:ascii="Aptos" w:hAnsi="Aptos"/>
          <w:b/>
          <w:sz w:val="20"/>
          <w:szCs w:val="20"/>
        </w:rPr>
      </w:pPr>
    </w:p>
    <w:p w14:paraId="36B1D4BC" w14:textId="6C97A2D8" w:rsidR="0090403D" w:rsidRPr="00BA73D9" w:rsidRDefault="00000000">
      <w:pPr>
        <w:rPr>
          <w:rFonts w:ascii="Aptos" w:hAnsi="Aptos"/>
          <w:sz w:val="20"/>
          <w:szCs w:val="20"/>
        </w:rPr>
      </w:pPr>
      <w:r w:rsidRPr="00BA73D9">
        <w:rPr>
          <w:rFonts w:ascii="Aptos" w:hAnsi="Aptos"/>
          <w:b/>
          <w:sz w:val="20"/>
          <w:szCs w:val="20"/>
        </w:rPr>
        <w:t>Records of Briefings:</w:t>
      </w:r>
    </w:p>
    <w:p w14:paraId="5F3AF707" w14:textId="77777777" w:rsidR="0090403D" w:rsidRPr="00BA73D9" w:rsidRDefault="0090403D">
      <w:pPr>
        <w:rPr>
          <w:rFonts w:ascii="Aptos" w:hAnsi="Aptos"/>
          <w:sz w:val="20"/>
          <w:szCs w:val="20"/>
        </w:rPr>
      </w:pPr>
    </w:p>
    <w:p w14:paraId="7423B35D" w14:textId="77777777" w:rsidR="0090403D" w:rsidRPr="00BA73D9" w:rsidRDefault="00000000">
      <w:pPr>
        <w:rPr>
          <w:rFonts w:ascii="Aptos" w:hAnsi="Aptos"/>
          <w:sz w:val="20"/>
          <w:szCs w:val="20"/>
        </w:rPr>
      </w:pPr>
      <w:r w:rsidRPr="00BA73D9">
        <w:rPr>
          <w:rFonts w:ascii="Aptos" w:hAnsi="Aptos"/>
          <w:sz w:val="20"/>
          <w:szCs w:val="20"/>
        </w:rPr>
        <w:t>Team Leader briefings are recorded (for example, by way of a signed briefing/toolbox talk record or equivalent site record confirming attendance and understanding) and retained in line with the Documents, Data and Records Procedure. Client review and approval of the Client Pack is similarly retained within the job file as evidence that risk assessments were communicated and accepted prior to work commencing.</w:t>
      </w:r>
    </w:p>
    <w:p w14:paraId="18A4DF3D" w14:textId="77777777" w:rsidR="0090403D" w:rsidRPr="00BA73D9" w:rsidRDefault="0090403D">
      <w:pPr>
        <w:rPr>
          <w:rFonts w:ascii="Aptos" w:hAnsi="Aptos"/>
          <w:sz w:val="20"/>
          <w:szCs w:val="20"/>
        </w:rPr>
      </w:pPr>
    </w:p>
    <w:p w14:paraId="0814E295" w14:textId="77777777" w:rsidR="0090403D" w:rsidRPr="00BA73D9" w:rsidRDefault="00000000">
      <w:pPr>
        <w:rPr>
          <w:rFonts w:ascii="Aptos" w:hAnsi="Aptos"/>
          <w:sz w:val="20"/>
          <w:szCs w:val="20"/>
        </w:rPr>
      </w:pPr>
      <w:r w:rsidRPr="00BA73D9">
        <w:rPr>
          <w:rFonts w:ascii="Aptos" w:hAnsi="Aptos"/>
          <w:b/>
          <w:sz w:val="20"/>
          <w:szCs w:val="20"/>
        </w:rPr>
        <w:t>Review of this Procedure:</w:t>
      </w:r>
    </w:p>
    <w:p w14:paraId="2445232E" w14:textId="77777777" w:rsidR="0090403D" w:rsidRPr="00BA73D9" w:rsidRDefault="0090403D">
      <w:pPr>
        <w:rPr>
          <w:rFonts w:ascii="Aptos" w:hAnsi="Aptos"/>
          <w:sz w:val="20"/>
          <w:szCs w:val="20"/>
        </w:rPr>
      </w:pPr>
    </w:p>
    <w:p w14:paraId="0B636645" w14:textId="77777777" w:rsidR="0090403D" w:rsidRPr="00BA73D9" w:rsidRDefault="00000000">
      <w:pPr>
        <w:rPr>
          <w:rFonts w:ascii="Aptos" w:hAnsi="Aptos"/>
          <w:sz w:val="20"/>
          <w:szCs w:val="20"/>
        </w:rPr>
      </w:pPr>
      <w:r w:rsidRPr="00BA73D9">
        <w:rPr>
          <w:rFonts w:ascii="Aptos" w:hAnsi="Aptos"/>
          <w:sz w:val="20"/>
          <w:szCs w:val="20"/>
        </w:rPr>
        <w:t xml:space="preserve">In addition to the review of individual risk assessments described above, the effectiveness of these risk assessment arrangements </w:t>
      </w:r>
      <w:proofErr w:type="gramStart"/>
      <w:r w:rsidRPr="00BA73D9">
        <w:rPr>
          <w:rFonts w:ascii="Aptos" w:hAnsi="Aptos"/>
          <w:sz w:val="20"/>
          <w:szCs w:val="20"/>
        </w:rPr>
        <w:t>as a whole is</w:t>
      </w:r>
      <w:proofErr w:type="gramEnd"/>
      <w:r w:rsidRPr="00BA73D9">
        <w:rPr>
          <w:rFonts w:ascii="Aptos" w:hAnsi="Aptos"/>
          <w:sz w:val="20"/>
          <w:szCs w:val="20"/>
        </w:rPr>
        <w:t xml:space="preserve"> reviewed by the Process Owner/Director at least annually, and following any significant incident, near miss, audit finding or client feedback. This review considers whether hazards are being consistently identified, whether control measures are proving effective in practice, and whether the process itself (including communication, authorisation and record-keeping arrangements) remains fit for purpose. Any resulting changes are updated within this procedure and communicated to those affected.</w:t>
      </w:r>
    </w:p>
    <w:p w14:paraId="7F570E46" w14:textId="77777777" w:rsidR="0090403D" w:rsidRPr="00BA73D9" w:rsidRDefault="0090403D">
      <w:pPr>
        <w:rPr>
          <w:rFonts w:ascii="Aptos" w:hAnsi="Aptos"/>
          <w:sz w:val="20"/>
          <w:szCs w:val="20"/>
        </w:rPr>
      </w:pPr>
    </w:p>
    <w:p w14:paraId="49CB8FE3" w14:textId="77777777" w:rsidR="0090403D" w:rsidRPr="00BA73D9" w:rsidRDefault="00000000">
      <w:pPr>
        <w:rPr>
          <w:rFonts w:ascii="Aptos" w:hAnsi="Aptos"/>
          <w:sz w:val="20"/>
          <w:szCs w:val="20"/>
        </w:rPr>
      </w:pPr>
      <w:r w:rsidRPr="00BA73D9">
        <w:rPr>
          <w:rFonts w:ascii="Aptos" w:hAnsi="Aptos"/>
          <w:b/>
          <w:sz w:val="20"/>
          <w:szCs w:val="20"/>
        </w:rPr>
        <w:t>Document Control:</w:t>
      </w:r>
    </w:p>
    <w:p w14:paraId="215BC611" w14:textId="77777777" w:rsidR="0090403D" w:rsidRPr="00BA73D9" w:rsidRDefault="0090403D">
      <w:pPr>
        <w:rPr>
          <w:rFonts w:ascii="Aptos" w:hAnsi="Aptos"/>
          <w:sz w:val="20"/>
          <w:szCs w:val="20"/>
        </w:rPr>
      </w:pPr>
    </w:p>
    <w:p w14:paraId="58CA4268" w14:textId="19C6F421" w:rsidR="0090403D" w:rsidRPr="00BA73D9" w:rsidRDefault="00000000">
      <w:pPr>
        <w:rPr>
          <w:rFonts w:ascii="Aptos" w:hAnsi="Aptos"/>
          <w:sz w:val="20"/>
          <w:szCs w:val="20"/>
        </w:rPr>
      </w:pPr>
      <w:r w:rsidRPr="00BA73D9">
        <w:rPr>
          <w:rFonts w:ascii="Aptos" w:hAnsi="Aptos"/>
          <w:sz w:val="20"/>
          <w:szCs w:val="20"/>
        </w:rPr>
        <w:t xml:space="preserve">This procedure is communicated to relevant staff, reviewed at least annually or sooner following legislative change, incidents or significant operational changes, and approved by a </w:t>
      </w:r>
      <w:r w:rsidR="004E71D5" w:rsidRPr="00BA73D9">
        <w:rPr>
          <w:rFonts w:ascii="Aptos" w:hAnsi="Aptos"/>
          <w:sz w:val="20"/>
          <w:szCs w:val="20"/>
        </w:rPr>
        <w:t>director</w:t>
      </w:r>
      <w:r w:rsidRPr="00BA73D9">
        <w:rPr>
          <w:rFonts w:ascii="Aptos" w:hAnsi="Aptos"/>
          <w:sz w:val="20"/>
          <w:szCs w:val="20"/>
        </w:rPr>
        <w:t>.</w:t>
      </w:r>
    </w:p>
    <w:p w14:paraId="62626D84" w14:textId="77777777" w:rsidR="0090403D" w:rsidRPr="00BA73D9" w:rsidRDefault="0090403D">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BA73D9" w14:paraId="522ACE53" w14:textId="77777777" w:rsidTr="000B3656">
        <w:trPr>
          <w:trHeight w:val="1237"/>
          <w:jc w:val="center"/>
        </w:trPr>
        <w:tc>
          <w:tcPr>
            <w:tcW w:w="1222" w:type="dxa"/>
            <w:tcBorders>
              <w:bottom w:val="dotted" w:sz="4" w:space="0" w:color="000000"/>
              <w:right w:val="dotted" w:sz="4" w:space="0" w:color="000000"/>
            </w:tcBorders>
            <w:vAlign w:val="center"/>
          </w:tcPr>
          <w:p w14:paraId="751043B5" w14:textId="77777777" w:rsidR="00A919FC" w:rsidRPr="00BA73D9" w:rsidRDefault="00000000" w:rsidP="000B3656">
            <w:pPr>
              <w:rPr>
                <w:rFonts w:ascii="Aptos" w:eastAsia="Georgia" w:hAnsi="Aptos" w:cstheme="majorHAnsi"/>
                <w:sz w:val="20"/>
                <w:szCs w:val="20"/>
              </w:rPr>
            </w:pPr>
            <w:r w:rsidRPr="00BA73D9">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0C026008" w14:textId="77777777" w:rsidR="0090403D" w:rsidRPr="00BA73D9" w:rsidRDefault="0090403D">
            <w:pPr>
              <w:rPr>
                <w:rFonts w:ascii="Aptos" w:hAnsi="Aptos"/>
                <w:sz w:val="20"/>
                <w:szCs w:val="20"/>
              </w:rPr>
            </w:pPr>
          </w:p>
        </w:tc>
      </w:tr>
      <w:tr w:rsidR="00077058" w:rsidRPr="00BA73D9" w14:paraId="545EE102"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4F3A2190" w14:textId="77777777" w:rsidR="00A919FC" w:rsidRPr="00BA73D9" w:rsidRDefault="00000000" w:rsidP="000B3656">
            <w:pPr>
              <w:rPr>
                <w:rFonts w:ascii="Aptos" w:eastAsia="Georgia" w:hAnsi="Aptos" w:cstheme="majorHAnsi"/>
                <w:sz w:val="20"/>
                <w:szCs w:val="20"/>
              </w:rPr>
            </w:pPr>
            <w:r w:rsidRPr="00BA73D9">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0426823C" w14:textId="77777777" w:rsidR="0090403D" w:rsidRPr="00BA73D9" w:rsidRDefault="0090403D">
            <w:pPr>
              <w:rPr>
                <w:rFonts w:ascii="Aptos" w:hAnsi="Aptos"/>
                <w:sz w:val="20"/>
                <w:szCs w:val="20"/>
              </w:rPr>
            </w:pPr>
          </w:p>
        </w:tc>
      </w:tr>
      <w:tr w:rsidR="00077058" w:rsidRPr="00BA73D9" w14:paraId="12B19831"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56EADFD1" w14:textId="77777777" w:rsidR="00A919FC" w:rsidRPr="00BA73D9" w:rsidRDefault="00000000" w:rsidP="000B3656">
            <w:pPr>
              <w:rPr>
                <w:rFonts w:ascii="Aptos" w:eastAsia="Georgia" w:hAnsi="Aptos" w:cstheme="majorHAnsi"/>
                <w:sz w:val="20"/>
                <w:szCs w:val="20"/>
              </w:rPr>
            </w:pPr>
            <w:r w:rsidRPr="00BA73D9">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0B9949D1" w14:textId="77777777" w:rsidR="00A919FC" w:rsidRPr="00BA73D9" w:rsidRDefault="00000000" w:rsidP="000B3656">
            <w:pPr>
              <w:rPr>
                <w:rFonts w:ascii="Aptos" w:eastAsia="Georgia" w:hAnsi="Aptos" w:cstheme="majorHAnsi"/>
                <w:sz w:val="20"/>
                <w:szCs w:val="20"/>
              </w:rPr>
            </w:pPr>
            <w:r w:rsidRPr="00BA73D9">
              <w:rPr>
                <w:rFonts w:ascii="Aptos" w:eastAsia="Georgia" w:hAnsi="Aptos" w:cstheme="majorHAnsi"/>
                <w:sz w:val="20"/>
                <w:szCs w:val="20"/>
              </w:rPr>
              <w:t>Director</w:t>
            </w:r>
          </w:p>
        </w:tc>
      </w:tr>
      <w:tr w:rsidR="00077058" w:rsidRPr="00BA73D9" w14:paraId="2D840CEC" w14:textId="77777777" w:rsidTr="000B3656">
        <w:trPr>
          <w:trHeight w:val="567"/>
          <w:jc w:val="center"/>
        </w:trPr>
        <w:tc>
          <w:tcPr>
            <w:tcW w:w="1222" w:type="dxa"/>
            <w:tcBorders>
              <w:top w:val="dotted" w:sz="4" w:space="0" w:color="000000"/>
              <w:right w:val="dotted" w:sz="4" w:space="0" w:color="000000"/>
            </w:tcBorders>
            <w:vAlign w:val="center"/>
          </w:tcPr>
          <w:p w14:paraId="42284B4B" w14:textId="77777777" w:rsidR="00A919FC" w:rsidRPr="00BA73D9" w:rsidRDefault="00000000" w:rsidP="000B3656">
            <w:pPr>
              <w:rPr>
                <w:rFonts w:ascii="Aptos" w:eastAsia="Georgia" w:hAnsi="Aptos" w:cstheme="majorHAnsi"/>
                <w:sz w:val="20"/>
                <w:szCs w:val="20"/>
              </w:rPr>
            </w:pPr>
            <w:r w:rsidRPr="00BA73D9">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1EDD5EA1" w14:textId="77777777" w:rsidR="0090403D" w:rsidRPr="00BA73D9" w:rsidRDefault="0090403D">
            <w:pPr>
              <w:rPr>
                <w:rFonts w:ascii="Aptos" w:hAnsi="Aptos"/>
                <w:sz w:val="20"/>
                <w:szCs w:val="20"/>
              </w:rPr>
            </w:pPr>
          </w:p>
        </w:tc>
      </w:tr>
    </w:tbl>
    <w:p w14:paraId="3DF089AF" w14:textId="77777777" w:rsidR="00E07120" w:rsidRPr="00BA73D9" w:rsidRDefault="00E07120">
      <w:pPr>
        <w:rPr>
          <w:rFonts w:ascii="Aptos" w:hAnsi="Aptos"/>
          <w:sz w:val="20"/>
          <w:szCs w:val="20"/>
        </w:rPr>
      </w:pPr>
    </w:p>
    <w:sectPr w:rsidR="00E07120" w:rsidRPr="00BA73D9" w:rsidSect="00EB6CB6">
      <w:headerReference w:type="default" r:id="rId10"/>
      <w:footerReference w:type="default" r:id="rId11"/>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16880D" w14:textId="77777777" w:rsidR="00E31F41" w:rsidRDefault="00E31F41" w:rsidP="00C5152A">
      <w:r>
        <w:separator/>
      </w:r>
    </w:p>
  </w:endnote>
  <w:endnote w:type="continuationSeparator" w:id="0">
    <w:p w14:paraId="7BC996A8" w14:textId="77777777" w:rsidR="00E31F41" w:rsidRDefault="00E31F41"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69C0BA" w14:textId="6AA59024" w:rsidR="00BA73D9" w:rsidRPr="00BA216F" w:rsidRDefault="00BA73D9" w:rsidP="00BA73D9">
    <w:pPr>
      <w:rPr>
        <w:rFonts w:ascii="Aptos" w:hAnsi="Aptos"/>
        <w:color w:val="FF0000"/>
        <w:sz w:val="15"/>
        <w:szCs w:val="15"/>
      </w:rPr>
    </w:pPr>
    <w:r w:rsidRPr="00BA216F">
      <w:rPr>
        <w:rFonts w:ascii="Aptos" w:hAnsi="Aptos"/>
        <w:color w:val="FF0000"/>
        <w:sz w:val="15"/>
        <w:szCs w:val="15"/>
      </w:rPr>
      <w:t xml:space="preserve">[COMPANY NAME] </w:t>
    </w:r>
    <w:r>
      <w:rPr>
        <w:rFonts w:ascii="Aptos" w:hAnsi="Aptos"/>
        <w:sz w:val="15"/>
        <w:szCs w:val="15"/>
      </w:rPr>
      <w:t>Risk Assessment Procedure</w:t>
    </w:r>
    <w:r w:rsidRPr="002E5DC7">
      <w:rPr>
        <w:rFonts w:ascii="Aptos" w:hAnsi="Aptos"/>
        <w:sz w:val="15"/>
        <w:szCs w:val="15"/>
      </w:rPr>
      <w:t xml:space="preserve"> – ARB-P</w:t>
    </w:r>
    <w:r>
      <w:rPr>
        <w:rFonts w:ascii="Aptos" w:hAnsi="Aptos"/>
        <w:sz w:val="15"/>
        <w:szCs w:val="15"/>
      </w:rPr>
      <w:t>ROC</w:t>
    </w:r>
    <w:r w:rsidRPr="002E5DC7">
      <w:rPr>
        <w:rFonts w:ascii="Aptos" w:hAnsi="Aptos"/>
        <w:sz w:val="15"/>
        <w:szCs w:val="15"/>
      </w:rPr>
      <w:t>-0</w:t>
    </w:r>
    <w:r w:rsidR="004E71D5">
      <w:rPr>
        <w:rFonts w:ascii="Aptos" w:hAnsi="Aptos"/>
        <w:sz w:val="15"/>
        <w:szCs w:val="15"/>
      </w:rPr>
      <w:t>6</w:t>
    </w:r>
    <w:r>
      <w:rPr>
        <w:rFonts w:ascii="Aptos" w:hAnsi="Aptos"/>
        <w:sz w:val="15"/>
        <w:szCs w:val="15"/>
      </w:rPr>
      <w:t xml:space="preserve">- </w:t>
    </w:r>
    <w:r w:rsidRPr="002E5DC7">
      <w:rPr>
        <w:rFonts w:ascii="Aptos" w:hAnsi="Aptos"/>
        <w:color w:val="FF0000"/>
        <w:sz w:val="15"/>
        <w:szCs w:val="15"/>
      </w:rPr>
      <w:t>V</w:t>
    </w:r>
    <w:r w:rsidRPr="00BA216F">
      <w:rPr>
        <w:rFonts w:ascii="Aptos" w:hAnsi="Aptos"/>
        <w:color w:val="FF0000"/>
        <w:sz w:val="15"/>
        <w:szCs w:val="15"/>
      </w:rPr>
      <w:t>ersion: [VERSION]</w:t>
    </w:r>
    <w:r>
      <w:rPr>
        <w:rFonts w:ascii="Aptos" w:hAnsi="Aptos"/>
        <w:color w:val="FF0000"/>
        <w:sz w:val="15"/>
        <w:szCs w:val="15"/>
      </w:rPr>
      <w:t xml:space="preserve"> -</w:t>
    </w:r>
    <w:r w:rsidRPr="00BA216F">
      <w:rPr>
        <w:rFonts w:ascii="Aptos" w:hAnsi="Aptos"/>
        <w:color w:val="FF0000"/>
        <w:sz w:val="15"/>
        <w:szCs w:val="15"/>
      </w:rPr>
      <w:t xml:space="preserve"> Date Issued: [</w:t>
    </w:r>
    <w:proofErr w:type="gramStart"/>
    <w:r w:rsidRPr="00BA216F">
      <w:rPr>
        <w:rFonts w:ascii="Aptos" w:hAnsi="Aptos"/>
        <w:color w:val="FF0000"/>
        <w:sz w:val="15"/>
        <w:szCs w:val="15"/>
      </w:rPr>
      <w:t xml:space="preserve">DATE]   </w:t>
    </w:r>
    <w:proofErr w:type="gramEnd"/>
    <w:r w:rsidRPr="00BA216F">
      <w:rPr>
        <w:rFonts w:ascii="Aptos" w:hAnsi="Aptos"/>
        <w:color w:val="FF0000"/>
        <w:sz w:val="15"/>
        <w:szCs w:val="15"/>
      </w:rPr>
      <w:t>Review Date: [REVIEW DATE]</w:t>
    </w:r>
  </w:p>
  <w:p w14:paraId="726E610A" w14:textId="06907AA7" w:rsidR="004C75FF" w:rsidRPr="00BA73D9" w:rsidRDefault="00BA73D9" w:rsidP="00BA73D9">
    <w:pPr>
      <w:rPr>
        <w:rFonts w:ascii="Aptos Display" w:hAnsi="Aptos Display"/>
        <w:color w:val="FF0000"/>
        <w:sz w:val="16"/>
        <w:szCs w:val="16"/>
      </w:rPr>
    </w:pPr>
    <w:r w:rsidRPr="00F179ED">
      <w:rPr>
        <w:rFonts w:ascii="Aptos Display" w:hAnsi="Aptos Display"/>
        <w:color w:val="FF0000"/>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0C8486" w14:textId="77777777" w:rsidR="00E31F41" w:rsidRDefault="00E31F41" w:rsidP="00C5152A">
      <w:r>
        <w:separator/>
      </w:r>
    </w:p>
  </w:footnote>
  <w:footnote w:type="continuationSeparator" w:id="0">
    <w:p w14:paraId="3779B398" w14:textId="77777777" w:rsidR="00E31F41" w:rsidRDefault="00E31F41"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347AF7" w14:textId="77777777" w:rsidR="00BA73D9" w:rsidRPr="00F179ED" w:rsidRDefault="00BA73D9" w:rsidP="00BA73D9">
    <w:pPr>
      <w:rPr>
        <w:rFonts w:ascii="Aptos Display" w:hAnsi="Aptos Display"/>
        <w:color w:val="FF0000"/>
        <w:sz w:val="20"/>
        <w:szCs w:val="20"/>
      </w:rPr>
    </w:pPr>
    <w:r w:rsidRPr="00F179ED">
      <w:rPr>
        <w:rFonts w:ascii="Aptos Display" w:hAnsi="Aptos Display"/>
        <w:color w:val="FF0000"/>
        <w:sz w:val="20"/>
        <w:szCs w:val="20"/>
      </w:rPr>
      <w:t>LOGO [Insert Company Logo Here]</w:t>
    </w:r>
  </w:p>
  <w:p w14:paraId="10F1F2B8" w14:textId="77777777" w:rsidR="00673AFF" w:rsidRDefault="00673AFF" w:rsidP="00673A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90EE2"/>
    <w:multiLevelType w:val="hybridMultilevel"/>
    <w:tmpl w:val="2BC488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E35C7A"/>
    <w:multiLevelType w:val="hybridMultilevel"/>
    <w:tmpl w:val="DA4ADD0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359352374">
    <w:abstractNumId w:val="1"/>
  </w:num>
  <w:num w:numId="2" w16cid:durableId="1368338415">
    <w:abstractNumId w:val="6"/>
  </w:num>
  <w:num w:numId="3" w16cid:durableId="697632224">
    <w:abstractNumId w:val="5"/>
  </w:num>
  <w:num w:numId="4" w16cid:durableId="1962489095">
    <w:abstractNumId w:val="2"/>
  </w:num>
  <w:num w:numId="5" w16cid:durableId="1644041034">
    <w:abstractNumId w:val="3"/>
  </w:num>
  <w:num w:numId="6" w16cid:durableId="23140106">
    <w:abstractNumId w:val="4"/>
  </w:num>
  <w:num w:numId="7" w16cid:durableId="534657430">
    <w:abstractNumId w:val="8"/>
  </w:num>
  <w:num w:numId="8" w16cid:durableId="112966489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43397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520B6"/>
    <w:rsid w:val="000D49A7"/>
    <w:rsid w:val="00161210"/>
    <w:rsid w:val="001950A7"/>
    <w:rsid w:val="002513FE"/>
    <w:rsid w:val="00403CFD"/>
    <w:rsid w:val="00465444"/>
    <w:rsid w:val="004B5F1B"/>
    <w:rsid w:val="004C75FF"/>
    <w:rsid w:val="004E71D5"/>
    <w:rsid w:val="00527969"/>
    <w:rsid w:val="005D3129"/>
    <w:rsid w:val="005F2338"/>
    <w:rsid w:val="00673AFF"/>
    <w:rsid w:val="006C4E08"/>
    <w:rsid w:val="00730A1B"/>
    <w:rsid w:val="00790BC8"/>
    <w:rsid w:val="007E4AA1"/>
    <w:rsid w:val="007E4F28"/>
    <w:rsid w:val="007E7569"/>
    <w:rsid w:val="008465EF"/>
    <w:rsid w:val="00856E6C"/>
    <w:rsid w:val="00875B93"/>
    <w:rsid w:val="008A36ED"/>
    <w:rsid w:val="008D155C"/>
    <w:rsid w:val="0090403D"/>
    <w:rsid w:val="009327C0"/>
    <w:rsid w:val="00944550"/>
    <w:rsid w:val="0097343D"/>
    <w:rsid w:val="00A919FC"/>
    <w:rsid w:val="00AD1039"/>
    <w:rsid w:val="00B07553"/>
    <w:rsid w:val="00B21449"/>
    <w:rsid w:val="00BA73D9"/>
    <w:rsid w:val="00C5152A"/>
    <w:rsid w:val="00C74F02"/>
    <w:rsid w:val="00CB7309"/>
    <w:rsid w:val="00D03B2C"/>
    <w:rsid w:val="00D41CCE"/>
    <w:rsid w:val="00DE2048"/>
    <w:rsid w:val="00E07120"/>
    <w:rsid w:val="00E31F41"/>
    <w:rsid w:val="00EB6CB6"/>
    <w:rsid w:val="00F0375F"/>
    <w:rsid w:val="00F52823"/>
    <w:rsid w:val="00F66555"/>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920C1F"/>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1</TotalTime>
  <Pages>6</Pages>
  <Words>893</Words>
  <Characters>5512</Characters>
  <Application>Microsoft Office Word</Application>
  <DocSecurity>0</DocSecurity>
  <Lines>172</Lines>
  <Paragraphs>98</Paragraphs>
  <ScaleCrop>false</ScaleCrop>
  <HeadingPairs>
    <vt:vector size="2" baseType="variant">
      <vt:variant>
        <vt:lpstr>Title</vt:lpstr>
      </vt:variant>
      <vt:variant>
        <vt:i4>1</vt:i4>
      </vt:variant>
    </vt:vector>
  </HeadingPairs>
  <TitlesOfParts>
    <vt:vector size="1" baseType="lpstr">
      <vt:lpstr/>
    </vt:vector>
  </TitlesOfParts>
  <Company>C</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2019-09-23T14:05:00Z</cp:lastPrinted>
  <dcterms:created xsi:type="dcterms:W3CDTF">2026-09-02T09:54:00Z</dcterms:created>
  <dcterms:modified xsi:type="dcterms:W3CDTF">2026-09-02T09:54:00Z</dcterms:modified>
</cp:coreProperties>
</file>