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682091" w14:textId="053DEC17" w:rsidR="00183C5A" w:rsidRPr="00DF6414" w:rsidRDefault="00000000" w:rsidP="00123105">
      <w:pPr>
        <w:spacing w:after="0"/>
        <w:jc w:val="center"/>
        <w:rPr>
          <w:rFonts w:ascii="Aptos Display" w:hAnsi="Aptos Display"/>
          <w:b/>
          <w:bCs/>
          <w:color w:val="FF0000"/>
          <w:sz w:val="20"/>
          <w:szCs w:val="20"/>
          <w:u w:val="single"/>
        </w:rPr>
      </w:pPr>
      <w:r w:rsidRPr="00DF6414">
        <w:rPr>
          <w:rFonts w:ascii="Aptos" w:hAnsi="Aptos" w:eastAsia="Aptos" w:cs="Aptos"/>
          <w:b/>
          <w:bCs/>
          <w:color w:val="FF0000"/>
          <w:sz w:val="20"/>
          <w:szCs w:val="20"/>
          <w:u w:val="single"/>
        </w:rPr>
        <w:t>COMPANY</w:t>
      </w:r>
    </w:p>
    <w:p w14:paraId="64B6430D" w14:textId="77777777" w:rsidR="00183C5A" w:rsidRPr="00123105" w:rsidRDefault="00000000" w:rsidP="00123105">
      <w:pPr>
        <w:spacing w:after="0"/>
        <w:jc w:val="center"/>
        <w:rPr>
          <w:rFonts w:ascii="Aptos Display" w:hAnsi="Aptos Display"/>
          <w:sz w:val="20"/>
          <w:szCs w:val="20"/>
          <w:u w:val="single"/>
        </w:rPr>
      </w:pPr>
      <w:r w:rsidRPr="00123105">
        <w:rPr>
          <w:rFonts w:ascii="Aptos" w:hAnsi="Aptos" w:eastAsia="Aptos" w:cs="Aptos"/>
          <w:sz w:val="20"/>
          <w:szCs w:val="20"/>
          <w:u w:val="single"/>
        </w:rPr>
        <w:t>GENERIC RISK ASSESSMENT (GRA) – HEDGE WORK OPERATIONS</w:t>
      </w:r>
      <w:r w:rsidRPr="00123105">
        <w:rPr>
          <w:rFonts w:ascii="Aptos" w:hAnsi="Aptos" w:eastAsia="Aptos" w:cs="Aptos"/>
          <w:sz w:val="20"/>
          <w:szCs w:val="20"/>
          <w:u w:val="single"/>
        </w:rPr>
        <w:br/>
      </w:r>
    </w:p>
    <w:p w14:paraId="3F37249C" w14:textId="77777777" w:rsidR="00183C5A" w:rsidRPr="00123105" w:rsidRDefault="00000000">
      <w:pPr>
        <w:rPr>
          <w:rFonts w:ascii="Aptos Display" w:hAnsi="Aptos Display"/>
          <w:sz w:val="20"/>
          <w:szCs w:val="20"/>
        </w:rPr>
      </w:pPr>
      <w:r w:rsidRPr="00123105">
        <w:rPr>
          <w:rFonts w:ascii="Aptos" w:hAnsi="Aptos" w:eastAsia="Aptos" w:cs="Aptos"/>
          <w:sz w:val="20"/>
          <w:szCs w:val="20"/>
        </w:rPr>
        <w:t>Activity / Task: Hedge trimming, hedge reduction and hedge removal operations using hand tools and powered equipment</w:t>
      </w:r>
    </w:p>
    <w:p w14:paraId="41845B2D" w14:textId="77777777" w:rsidR="00183C5A" w:rsidRPr="00123105" w:rsidRDefault="00000000">
      <w:pPr>
        <w:rPr>
          <w:rFonts w:ascii="Aptos Display" w:hAnsi="Aptos Display"/>
          <w:sz w:val="20"/>
          <w:szCs w:val="20"/>
        </w:rPr>
      </w:pPr>
      <w:r w:rsidRPr="00123105">
        <w:rPr>
          <w:rFonts w:ascii="Aptos" w:hAnsi="Aptos" w:eastAsia="Aptos" w:cs="Aptos"/>
          <w:sz w:val="20"/>
          <w:szCs w:val="20"/>
        </w:rPr>
        <w:t>Document Ref: ARB-GRA-09</w:t>
      </w:r>
    </w:p>
    <w:p w14:paraId="0DAA9369" w14:textId="77777777" w:rsidR="00183C5A" w:rsidRPr="00123105" w:rsidRDefault="00000000">
      <w:pPr>
        <w:rPr>
          <w:rFonts w:ascii="Aptos Display" w:hAnsi="Aptos Display"/>
          <w:sz w:val="20"/>
          <w:szCs w:val="20"/>
        </w:rPr>
      </w:pPr>
      <w:r w:rsidRPr="00123105">
        <w:rPr>
          <w:rFonts w:ascii="Aptos" w:hAnsi="Aptos" w:eastAsia="Aptos" w:cs="Aptos"/>
          <w:sz w:val="20"/>
          <w:szCs w:val="20"/>
        </w:rPr>
        <w:t>Version: ____    Date Issued: ____    Review Date: ____</w:t>
      </w:r>
    </w:p>
    <w:p w14:paraId="63E5D040" w14:textId="77777777" w:rsidR="00183C5A" w:rsidRPr="00123105" w:rsidRDefault="00000000">
      <w:pPr>
        <w:rPr>
          <w:rFonts w:ascii="Aptos Display" w:hAnsi="Aptos Display"/>
          <w:sz w:val="20"/>
          <w:szCs w:val="20"/>
        </w:rPr>
      </w:pPr>
      <w:r w:rsidRPr="00123105">
        <w:rPr>
          <w:rFonts w:ascii="Aptos" w:hAnsi="Aptos" w:eastAsia="Aptos" w:cs="Aptos"/>
          <w:sz w:val="20"/>
          <w:szCs w:val="20"/>
        </w:rPr>
        <w:t>Assessed by: ______________________________</w:t>
      </w:r>
      <w:r w:rsidRPr="00123105">
        <w:rPr>
          <w:rFonts w:ascii="Aptos" w:hAnsi="Aptos" w:eastAsia="Aptos" w:cs="Aptos"/>
          <w:sz w:val="20"/>
          <w:szCs w:val="20"/>
        </w:rPr>
        <w:br/>
      </w:r>
    </w:p>
    <w:p w14:paraId="02730E6E" w14:textId="77777777" w:rsidR="00183C5A" w:rsidRPr="00123105" w:rsidRDefault="00000000">
      <w:pPr>
        <w:pStyle w:val="Heading2"/>
        <w:rPr>
          <w:rFonts w:ascii="Aptos Display" w:hAnsi="Aptos Display"/>
          <w:color w:val="auto"/>
          <w:sz w:val="20"/>
          <w:szCs w:val="20"/>
        </w:rPr>
      </w:pPr>
      <w:r w:rsidRPr="00123105">
        <w:rPr>
          <w:rFonts w:ascii="Aptos" w:hAnsi="Aptos" w:eastAsia="Aptos" w:cs="Aptos"/>
          <w:color w:val="auto"/>
          <w:sz w:val="20"/>
          <w:szCs w:val="20"/>
        </w:rPr>
        <w:t>1. Scope of Risk Assessment</w:t>
      </w:r>
    </w:p>
    <w:p w14:paraId="12FD4A03" w14:textId="77777777" w:rsidR="00183C5A" w:rsidRPr="00123105" w:rsidRDefault="00000000">
      <w:pPr>
        <w:rPr>
          <w:rFonts w:ascii="Aptos Display" w:hAnsi="Aptos Display"/>
          <w:sz w:val="20"/>
          <w:szCs w:val="20"/>
        </w:rPr>
      </w:pPr>
      <w:r w:rsidRPr="00123105">
        <w:rPr>
          <w:rFonts w:ascii="Aptos" w:hAnsi="Aptos" w:eastAsia="Aptos" w:cs="Aptos"/>
          <w:sz w:val="20"/>
          <w:szCs w:val="20"/>
        </w:rPr>
        <w:t>This Generic Risk Assessment (GRA) covers hedge trimming, reduction and removal works including use of hand tools (loppers, secateurs, saws), petrol or battery hedge trimmers, pole hedge trimmers, step ladders and associated manual handling and waste removal. Hedge removal involving chainsaw use must also be read in conjunction with the relevant Chainsaw GRA. Work from MEWPs must be read alongside the MEWP GRA. This document must be used with a Site-Specific Risk Assessment (SSRA).</w:t>
      </w:r>
    </w:p>
    <w:p w14:paraId="1A0D037A" w14:textId="77777777" w:rsidR="00183C5A" w:rsidRPr="00123105" w:rsidRDefault="00000000">
      <w:pPr>
        <w:pStyle w:val="Heading2"/>
        <w:rPr>
          <w:rFonts w:ascii="Aptos Display" w:hAnsi="Aptos Display"/>
          <w:color w:val="auto"/>
          <w:sz w:val="20"/>
          <w:szCs w:val="20"/>
        </w:rPr>
      </w:pPr>
      <w:r w:rsidRPr="00123105">
        <w:rPr>
          <w:rFonts w:ascii="Aptos" w:hAnsi="Aptos" w:eastAsia="Aptos" w:cs="Aptos"/>
          <w:color w:val="auto"/>
          <w:sz w:val="20"/>
          <w:szCs w:val="20"/>
        </w:rPr>
        <w:t>2. Responsibilities</w:t>
      </w:r>
    </w:p>
    <w:p w14:paraId="004B1426" w14:textId="77777777" w:rsidR="00183C5A" w:rsidRPr="00123105" w:rsidRDefault="00000000">
      <w:pPr>
        <w:rPr>
          <w:rFonts w:ascii="Aptos Display" w:hAnsi="Aptos Display"/>
          <w:sz w:val="20"/>
          <w:szCs w:val="20"/>
        </w:rPr>
      </w:pPr>
      <w:r w:rsidRPr="00123105">
        <w:rPr>
          <w:rFonts w:ascii="Aptos" w:hAnsi="Aptos" w:eastAsia="Aptos" w:cs="Aptos"/>
          <w:sz w:val="20"/>
          <w:szCs w:val="20"/>
        </w:rPr>
        <w:t>Management must ensure operators are trained and competent, equipment is maintained in accordance with PUWER and manufacturer guidance, and adequate supervision is provided.</w:t>
      </w:r>
    </w:p>
    <w:p w14:paraId="5B50AB74" w14:textId="77777777" w:rsidR="00183C5A" w:rsidRPr="00123105" w:rsidRDefault="00000000">
      <w:pPr>
        <w:rPr>
          <w:rFonts w:ascii="Aptos Display" w:hAnsi="Aptos Display"/>
          <w:sz w:val="20"/>
          <w:szCs w:val="20"/>
        </w:rPr>
      </w:pPr>
      <w:r w:rsidRPr="00123105">
        <w:rPr>
          <w:rFonts w:ascii="Aptos" w:hAnsi="Aptos" w:eastAsia="Aptos" w:cs="Aptos"/>
          <w:sz w:val="20"/>
          <w:szCs w:val="20"/>
        </w:rPr>
        <w:t>The Team Leader is responsible for completing and briefing the SSRA, establishing exclusion zones and monitoring site conditions. Operators are responsible for safe operation, correct PPE use and reporting hazards immediately.</w:t>
      </w:r>
    </w:p>
    <w:p w14:paraId="40CE5D14" w14:textId="77777777" w:rsidR="00183C5A" w:rsidRPr="00123105" w:rsidRDefault="00000000">
      <w:pPr>
        <w:pStyle w:val="Heading2"/>
        <w:rPr>
          <w:rFonts w:ascii="Aptos Display" w:hAnsi="Aptos Display"/>
          <w:color w:val="auto"/>
          <w:sz w:val="20"/>
          <w:szCs w:val="20"/>
        </w:rPr>
      </w:pPr>
      <w:r w:rsidRPr="00123105">
        <w:rPr>
          <w:rFonts w:ascii="Aptos" w:hAnsi="Aptos" w:eastAsia="Aptos" w:cs="Aptos"/>
          <w:color w:val="auto"/>
          <w:sz w:val="20"/>
          <w:szCs w:val="20"/>
        </w:rPr>
        <w:t>3. Persons at Risk</w:t>
      </w:r>
    </w:p>
    <w:p w14:paraId="47D5AB9F" w14:textId="77777777" w:rsidR="00183C5A" w:rsidRPr="00123105" w:rsidRDefault="00000000">
      <w:pPr>
        <w:rPr>
          <w:rFonts w:ascii="Aptos Display" w:hAnsi="Aptos Display"/>
          <w:sz w:val="20"/>
          <w:szCs w:val="20"/>
        </w:rPr>
      </w:pPr>
      <w:r w:rsidRPr="00123105">
        <w:rPr>
          <w:rFonts w:ascii="Aptos" w:hAnsi="Aptos" w:cs="Aptos" w:eastAsia="Aptos"/>
          <w:sz w:val="20"/>
          <w:szCs w:val="20"/>
        </w:rPr>
        <w:t>☒</w:t>
      </w:r>
      <w:r w:rsidRPr="00123105">
        <w:rPr>
          <w:rFonts w:ascii="Aptos" w:hAnsi="Aptos" w:eastAsia="Aptos" w:cs="Aptos"/>
          <w:sz w:val="20"/>
          <w:szCs w:val="20"/>
        </w:rPr>
        <w:t xml:space="preserve"> Employees    </w:t>
      </w:r>
      <w:r w:rsidRPr="00123105">
        <w:rPr>
          <w:rFonts w:ascii="Aptos" w:hAnsi="Aptos" w:cs="Aptos" w:eastAsia="Aptos"/>
          <w:sz w:val="20"/>
          <w:szCs w:val="20"/>
        </w:rPr>
        <w:t>☒</w:t>
      </w:r>
      <w:r w:rsidRPr="00123105">
        <w:rPr>
          <w:rFonts w:ascii="Aptos" w:hAnsi="Aptos" w:eastAsia="Aptos" w:cs="Aptos"/>
          <w:sz w:val="20"/>
          <w:szCs w:val="20"/>
        </w:rPr>
        <w:t xml:space="preserve"> Contractors    </w:t>
      </w:r>
      <w:r w:rsidRPr="00123105">
        <w:rPr>
          <w:rFonts w:ascii="Aptos" w:hAnsi="Aptos" w:cs="Aptos" w:eastAsia="Aptos"/>
          <w:sz w:val="20"/>
          <w:szCs w:val="20"/>
        </w:rPr>
        <w:t>☒</w:t>
      </w:r>
      <w:r w:rsidRPr="00123105">
        <w:rPr>
          <w:rFonts w:ascii="Aptos" w:hAnsi="Aptos" w:eastAsia="Aptos" w:cs="Aptos"/>
          <w:sz w:val="20"/>
          <w:szCs w:val="20"/>
        </w:rPr>
        <w:t xml:space="preserve"> Members of the Public    </w:t>
      </w:r>
      <w:r w:rsidRPr="00123105">
        <w:rPr>
          <w:rFonts w:ascii="Aptos" w:hAnsi="Aptos" w:cs="Aptos" w:eastAsia="Aptos"/>
          <w:sz w:val="20"/>
          <w:szCs w:val="20"/>
        </w:rPr>
        <w:t>☒</w:t>
      </w:r>
      <w:r w:rsidRPr="00123105">
        <w:rPr>
          <w:rFonts w:ascii="Aptos" w:hAnsi="Aptos" w:eastAsia="Aptos" w:cs="Aptos"/>
          <w:sz w:val="20"/>
          <w:szCs w:val="20"/>
        </w:rPr>
        <w:t xml:space="preserve"> Clients    </w:t>
      </w:r>
      <w:r w:rsidRPr="00123105">
        <w:rPr>
          <w:rFonts w:ascii="Aptos" w:hAnsi="Aptos" w:cs="Aptos" w:eastAsia="Aptos"/>
          <w:sz w:val="20"/>
          <w:szCs w:val="20"/>
        </w:rPr>
        <w:t>☒</w:t>
      </w:r>
      <w:r w:rsidRPr="00123105">
        <w:rPr>
          <w:rFonts w:ascii="Aptos" w:hAnsi="Aptos" w:eastAsia="Aptos" w:cs="Aptos"/>
          <w:sz w:val="20"/>
          <w:szCs w:val="20"/>
        </w:rPr>
        <w:t xml:space="preserve"> </w:t>
      </w:r>
      <w:proofErr w:type="gramStart"/>
      <w:r w:rsidRPr="00123105">
        <w:rPr>
          <w:rFonts w:ascii="Aptos" w:hAnsi="Aptos" w:eastAsia="Aptos" w:cs="Aptos"/>
          <w:sz w:val="20"/>
          <w:szCs w:val="20"/>
        </w:rPr>
        <w:t>Other road</w:t>
      </w:r>
      <w:proofErr w:type="gramEnd"/>
      <w:r w:rsidRPr="00123105">
        <w:rPr>
          <w:rFonts w:ascii="Aptos" w:hAnsi="Aptos" w:eastAsia="Aptos" w:cs="Aptos"/>
          <w:sz w:val="20"/>
          <w:szCs w:val="20"/>
        </w:rPr>
        <w:t xml:space="preserve"> users</w:t>
      </w:r>
    </w:p>
    <w:p w14:paraId="6B25C70E" w14:textId="77777777" w:rsidR="00183C5A" w:rsidRPr="00123105" w:rsidRDefault="00000000">
      <w:pPr>
        <w:pStyle w:val="Heading2"/>
        <w:rPr>
          <w:rFonts w:ascii="Aptos Display" w:hAnsi="Aptos Display"/>
          <w:color w:val="auto"/>
          <w:sz w:val="20"/>
          <w:szCs w:val="20"/>
        </w:rPr>
      </w:pPr>
      <w:r w:rsidRPr="00123105">
        <w:rPr>
          <w:rFonts w:ascii="Aptos" w:hAnsi="Aptos" w:eastAsia="Aptos" w:cs="Aptos"/>
          <w:color w:val="auto"/>
          <w:sz w:val="20"/>
          <w:szCs w:val="20"/>
        </w:rPr>
        <w:t>4. PPE Requirements</w:t>
      </w:r>
    </w:p>
    <w:p w14:paraId="23524B30" w14:textId="77777777" w:rsidR="00183C5A" w:rsidRPr="00123105" w:rsidRDefault="00000000">
      <w:pPr>
        <w:rPr>
          <w:rFonts w:ascii="Aptos Display" w:hAnsi="Aptos Display"/>
          <w:sz w:val="20"/>
          <w:szCs w:val="20"/>
        </w:rPr>
      </w:pPr>
      <w:r w:rsidRPr="00123105">
        <w:rPr>
          <w:rFonts w:ascii="Aptos" w:hAnsi="Aptos" w:eastAsia="Aptos" w:cs="Aptos"/>
          <w:sz w:val="20"/>
          <w:szCs w:val="20"/>
        </w:rPr>
        <w:t>Mandatory PPE: Safety helmet where overhead risk exists (EN 397), eye protection (EN 166), hearing protection (EN 352 where required), suitable gloves, safety footwear with good grip, and high visibility clothing when working near highways.</w:t>
      </w:r>
    </w:p>
    <w:p w14:paraId="271B47E1" w14:textId="77777777" w:rsidR="00183C5A" w:rsidRPr="00123105" w:rsidRDefault="00000000">
      <w:pPr>
        <w:pStyle w:val="Heading2"/>
        <w:rPr>
          <w:rFonts w:ascii="Aptos Display" w:hAnsi="Aptos Display"/>
          <w:color w:val="auto"/>
          <w:sz w:val="20"/>
          <w:szCs w:val="20"/>
        </w:rPr>
      </w:pPr>
      <w:r w:rsidRPr="00123105">
        <w:rPr>
          <w:rFonts w:ascii="Aptos" w:hAnsi="Aptos" w:eastAsia="Aptos" w:cs="Aptos"/>
          <w:color w:val="auto"/>
          <w:sz w:val="20"/>
          <w:szCs w:val="20"/>
        </w:rPr>
        <w:t>5. Emergency Arrangements</w:t>
      </w:r>
    </w:p>
    <w:p w14:paraId="5CA15B9A" w14:textId="77777777" w:rsidR="00183C5A" w:rsidRPr="00123105" w:rsidRDefault="00000000">
      <w:pPr>
        <w:rPr>
          <w:rFonts w:ascii="Aptos Display" w:hAnsi="Aptos Display"/>
          <w:sz w:val="20"/>
          <w:szCs w:val="20"/>
        </w:rPr>
      </w:pPr>
      <w:r w:rsidRPr="00123105">
        <w:rPr>
          <w:rFonts w:ascii="Aptos" w:hAnsi="Aptos" w:eastAsia="Aptos" w:cs="Aptos"/>
          <w:sz w:val="20"/>
          <w:szCs w:val="20"/>
        </w:rPr>
        <w:t>Emergency arrangements must comply with FISA 802. At least one operative must hold Emergency First Aid at Work (+F Forestry where chainsaw use is involved). A first aid kit must be available on site. Nearest A&amp;E and precise site location (including What3Words where appropriate) must be recorded.</w:t>
      </w:r>
    </w:p>
    <w:p w14:paraId="35440D1F" w14:textId="77777777" w:rsidR="00183C5A" w:rsidRPr="00123105" w:rsidRDefault="00000000">
      <w:pPr>
        <w:pStyle w:val="Heading2"/>
        <w:rPr>
          <w:rFonts w:ascii="Aptos Display" w:hAnsi="Aptos Display"/>
          <w:color w:val="auto"/>
          <w:sz w:val="20"/>
          <w:szCs w:val="20"/>
        </w:rPr>
      </w:pPr>
      <w:r w:rsidRPr="00123105">
        <w:rPr>
          <w:rFonts w:ascii="Aptos" w:hAnsi="Aptos" w:eastAsia="Aptos" w:cs="Aptos"/>
          <w:color w:val="auto"/>
          <w:sz w:val="20"/>
          <w:szCs w:val="20"/>
        </w:rPr>
        <w:t>6. Risk Matrix &amp; Scoring</w:t>
      </w:r>
    </w:p>
    <w:p w14:paraId="64570182" w14:textId="77777777" w:rsidR="00DF6414" w:rsidRPr="00326589" w:rsidRDefault="00DF6414" w:rsidP="00DF6414">
      <w:pPr>
        <w:rPr>
          <w:rFonts w:ascii="Aptos Display" w:hAnsi="Aptos Display"/>
          <w:sz w:val="20"/>
          <w:szCs w:val="20"/>
        </w:rPr>
      </w:pPr>
      <w:r>
        <w:rPr>
          <w:rFonts w:ascii="Aptos" w:hAnsi="Aptos" w:eastAsia="Aptos" w:cs="Aptos"/>
          <w:sz w:val="20"/>
        </w:rPr>
        <w:t>Risk is assessed using Likelihood (L) and Severity (S). Each rating must show the component scores and the calculation: L × S = Risk Rating. Initial risk is assessed before controls. Residual risk is reassessed after the listed controls using a new Residual L and Residual S score; these must not be copied from the initial assessment without review.</w:t>
      </w:r>
    </w:p>
    <w:tbl>
      <w:tblPr>
        <w:tblStyle w:val="TableGrid"/>
        <w:tblW w:w="0" w:type="auto"/>
        <w:tblInd w:w="1198" w:type="dxa"/>
        <w:tblLook w:val="04A0" w:firstRow="1" w:lastRow="0" w:firstColumn="1" w:lastColumn="0" w:noHBand="0" w:noVBand="1"/>
      </w:tblPr>
      <w:tblGrid>
        <w:gridCol w:w="2738"/>
        <w:gridCol w:w="1275"/>
        <w:gridCol w:w="1471"/>
        <w:gridCol w:w="1506"/>
        <w:gridCol w:w="1418"/>
        <w:gridCol w:w="1701"/>
      </w:tblGrid>
      <w:tr w:rsidR="00DF6414" w:rsidRPr="00216D93" w14:paraId="14439677" w14:textId="77777777" w:rsidTr="00FD207C">
        <w:tc>
          <w:tcPr>
            <w:tcW w:w="2738" w:type="dxa"/>
            <w:shd w:val="clear" w:color="auto" w:fill="BFBFBF" w:themeFill="background1" w:themeFillShade="BF"/>
          </w:tcPr>
          <w:p w14:paraId="78E1D2A8"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Severity ↓ / Likelihood →</w:t>
            </w:r>
          </w:p>
        </w:tc>
        <w:tc>
          <w:tcPr>
            <w:tcW w:w="1275" w:type="dxa"/>
            <w:shd w:val="clear" w:color="auto" w:fill="BFBFBF" w:themeFill="background1" w:themeFillShade="BF"/>
          </w:tcPr>
          <w:p w14:paraId="0A5B6F98"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1 Rare</w:t>
            </w:r>
          </w:p>
        </w:tc>
        <w:tc>
          <w:tcPr>
            <w:tcW w:w="1471" w:type="dxa"/>
            <w:shd w:val="clear" w:color="auto" w:fill="BFBFBF" w:themeFill="background1" w:themeFillShade="BF"/>
          </w:tcPr>
          <w:p w14:paraId="70D4D7BB"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2 Unlikely</w:t>
            </w:r>
          </w:p>
        </w:tc>
        <w:tc>
          <w:tcPr>
            <w:tcW w:w="1506" w:type="dxa"/>
            <w:shd w:val="clear" w:color="auto" w:fill="BFBFBF" w:themeFill="background1" w:themeFillShade="BF"/>
          </w:tcPr>
          <w:p w14:paraId="30652602"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3 Possible</w:t>
            </w:r>
          </w:p>
        </w:tc>
        <w:tc>
          <w:tcPr>
            <w:tcW w:w="1418" w:type="dxa"/>
            <w:shd w:val="clear" w:color="auto" w:fill="BFBFBF" w:themeFill="background1" w:themeFillShade="BF"/>
          </w:tcPr>
          <w:p w14:paraId="336FE4FB"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4 Likely</w:t>
            </w:r>
          </w:p>
        </w:tc>
        <w:tc>
          <w:tcPr>
            <w:tcW w:w="1701" w:type="dxa"/>
            <w:shd w:val="clear" w:color="auto" w:fill="BFBFBF" w:themeFill="background1" w:themeFillShade="BF"/>
          </w:tcPr>
          <w:p w14:paraId="66B04B3F"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5 Very Likely</w:t>
            </w:r>
          </w:p>
        </w:tc>
      </w:tr>
      <w:tr w:rsidR="00DF6414" w:rsidRPr="00216D93" w14:paraId="61048BF5" w14:textId="77777777" w:rsidTr="00FD207C">
        <w:tc>
          <w:tcPr>
            <w:tcW w:w="2738" w:type="dxa"/>
          </w:tcPr>
          <w:p w14:paraId="7FF02041"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1 Minor</w:t>
            </w:r>
          </w:p>
        </w:tc>
        <w:tc>
          <w:tcPr>
            <w:tcW w:w="1275" w:type="dxa"/>
            <w:shd w:val="clear" w:color="auto" w:fill="92D050"/>
          </w:tcPr>
          <w:p w14:paraId="3A125354"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1</w:t>
            </w:r>
          </w:p>
        </w:tc>
        <w:tc>
          <w:tcPr>
            <w:tcW w:w="1471" w:type="dxa"/>
            <w:shd w:val="clear" w:color="auto" w:fill="92D050"/>
          </w:tcPr>
          <w:p w14:paraId="6C137EC7"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2</w:t>
            </w:r>
          </w:p>
        </w:tc>
        <w:tc>
          <w:tcPr>
            <w:tcW w:w="1506" w:type="dxa"/>
            <w:shd w:val="clear" w:color="auto" w:fill="92D050"/>
          </w:tcPr>
          <w:p w14:paraId="42F37A26"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3</w:t>
            </w:r>
          </w:p>
        </w:tc>
        <w:tc>
          <w:tcPr>
            <w:tcW w:w="1418" w:type="dxa"/>
            <w:shd w:val="clear" w:color="auto" w:fill="92D050"/>
          </w:tcPr>
          <w:p w14:paraId="11A1E630"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4</w:t>
            </w:r>
          </w:p>
        </w:tc>
        <w:tc>
          <w:tcPr>
            <w:tcW w:w="1701" w:type="dxa"/>
            <w:shd w:val="clear" w:color="auto" w:fill="FBD4B4" w:themeFill="accent6" w:themeFillTint="66"/>
          </w:tcPr>
          <w:p w14:paraId="0B0885E0"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5</w:t>
            </w:r>
          </w:p>
        </w:tc>
      </w:tr>
      <w:tr w:rsidR="00DF6414" w:rsidRPr="00216D93" w14:paraId="5C799483" w14:textId="77777777" w:rsidTr="00FD207C">
        <w:tc>
          <w:tcPr>
            <w:tcW w:w="2738" w:type="dxa"/>
          </w:tcPr>
          <w:p w14:paraId="067A2EF1"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2 First Aid</w:t>
            </w:r>
          </w:p>
        </w:tc>
        <w:tc>
          <w:tcPr>
            <w:tcW w:w="1275" w:type="dxa"/>
            <w:shd w:val="clear" w:color="auto" w:fill="92D050"/>
          </w:tcPr>
          <w:p w14:paraId="18678D79"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2</w:t>
            </w:r>
          </w:p>
        </w:tc>
        <w:tc>
          <w:tcPr>
            <w:tcW w:w="1471" w:type="dxa"/>
            <w:shd w:val="clear" w:color="auto" w:fill="92D050"/>
          </w:tcPr>
          <w:p w14:paraId="57AB1E17"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4</w:t>
            </w:r>
          </w:p>
        </w:tc>
        <w:tc>
          <w:tcPr>
            <w:tcW w:w="1506" w:type="dxa"/>
            <w:shd w:val="clear" w:color="auto" w:fill="FBD4B4" w:themeFill="accent6" w:themeFillTint="66"/>
          </w:tcPr>
          <w:p w14:paraId="5AAE4EF7"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6</w:t>
            </w:r>
          </w:p>
        </w:tc>
        <w:tc>
          <w:tcPr>
            <w:tcW w:w="1418" w:type="dxa"/>
            <w:shd w:val="clear" w:color="auto" w:fill="FBD4B4" w:themeFill="accent6" w:themeFillTint="66"/>
          </w:tcPr>
          <w:p w14:paraId="6C18482C"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8</w:t>
            </w:r>
          </w:p>
        </w:tc>
        <w:tc>
          <w:tcPr>
            <w:tcW w:w="1701" w:type="dxa"/>
            <w:shd w:val="clear" w:color="auto" w:fill="E36C0A" w:themeFill="accent6" w:themeFillShade="BF"/>
          </w:tcPr>
          <w:p w14:paraId="7A95B625"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10</w:t>
            </w:r>
          </w:p>
        </w:tc>
      </w:tr>
      <w:tr w:rsidR="00DF6414" w:rsidRPr="00216D93" w14:paraId="069546C9" w14:textId="77777777" w:rsidTr="00FD207C">
        <w:tc>
          <w:tcPr>
            <w:tcW w:w="2738" w:type="dxa"/>
          </w:tcPr>
          <w:p w14:paraId="3F435529"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3 Medical</w:t>
            </w:r>
          </w:p>
        </w:tc>
        <w:tc>
          <w:tcPr>
            <w:tcW w:w="1275" w:type="dxa"/>
            <w:shd w:val="clear" w:color="auto" w:fill="92D050"/>
          </w:tcPr>
          <w:p w14:paraId="1526CB22"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3</w:t>
            </w:r>
          </w:p>
        </w:tc>
        <w:tc>
          <w:tcPr>
            <w:tcW w:w="1471" w:type="dxa"/>
            <w:shd w:val="clear" w:color="auto" w:fill="FBD4B4" w:themeFill="accent6" w:themeFillTint="66"/>
          </w:tcPr>
          <w:p w14:paraId="0C4B8489"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6</w:t>
            </w:r>
          </w:p>
        </w:tc>
        <w:tc>
          <w:tcPr>
            <w:tcW w:w="1506" w:type="dxa"/>
            <w:shd w:val="clear" w:color="auto" w:fill="FBD4B4" w:themeFill="accent6" w:themeFillTint="66"/>
          </w:tcPr>
          <w:p w14:paraId="4828438D"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9</w:t>
            </w:r>
          </w:p>
        </w:tc>
        <w:tc>
          <w:tcPr>
            <w:tcW w:w="1418" w:type="dxa"/>
            <w:shd w:val="clear" w:color="auto" w:fill="E36C0A" w:themeFill="accent6" w:themeFillShade="BF"/>
          </w:tcPr>
          <w:p w14:paraId="4BB45283"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12</w:t>
            </w:r>
          </w:p>
        </w:tc>
        <w:tc>
          <w:tcPr>
            <w:tcW w:w="1701" w:type="dxa"/>
            <w:shd w:val="clear" w:color="auto" w:fill="E36C0A" w:themeFill="accent6" w:themeFillShade="BF"/>
          </w:tcPr>
          <w:p w14:paraId="5FCE40B5"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15</w:t>
            </w:r>
          </w:p>
        </w:tc>
      </w:tr>
      <w:tr w:rsidR="00DF6414" w:rsidRPr="00216D93" w14:paraId="2FBAB158" w14:textId="77777777" w:rsidTr="00FD207C">
        <w:tc>
          <w:tcPr>
            <w:tcW w:w="2738" w:type="dxa"/>
          </w:tcPr>
          <w:p w14:paraId="27C93722"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4 Major</w:t>
            </w:r>
          </w:p>
        </w:tc>
        <w:tc>
          <w:tcPr>
            <w:tcW w:w="1275" w:type="dxa"/>
            <w:shd w:val="clear" w:color="auto" w:fill="92D050"/>
          </w:tcPr>
          <w:p w14:paraId="6D54C9F9"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4</w:t>
            </w:r>
          </w:p>
        </w:tc>
        <w:tc>
          <w:tcPr>
            <w:tcW w:w="1471" w:type="dxa"/>
            <w:shd w:val="clear" w:color="auto" w:fill="FBD4B4" w:themeFill="accent6" w:themeFillTint="66"/>
          </w:tcPr>
          <w:p w14:paraId="68D53F41"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8</w:t>
            </w:r>
          </w:p>
        </w:tc>
        <w:tc>
          <w:tcPr>
            <w:tcW w:w="1506" w:type="dxa"/>
            <w:shd w:val="clear" w:color="auto" w:fill="E36C0A" w:themeFill="accent6" w:themeFillShade="BF"/>
          </w:tcPr>
          <w:p w14:paraId="57E88CBC"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12</w:t>
            </w:r>
          </w:p>
        </w:tc>
        <w:tc>
          <w:tcPr>
            <w:tcW w:w="1418" w:type="dxa"/>
            <w:shd w:val="clear" w:color="auto" w:fill="E36C0A" w:themeFill="accent6" w:themeFillShade="BF"/>
          </w:tcPr>
          <w:p w14:paraId="0F6BE643"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16</w:t>
            </w:r>
          </w:p>
        </w:tc>
        <w:tc>
          <w:tcPr>
            <w:tcW w:w="1701" w:type="dxa"/>
            <w:shd w:val="clear" w:color="auto" w:fill="FF0000"/>
          </w:tcPr>
          <w:p w14:paraId="396D4346"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20</w:t>
            </w:r>
          </w:p>
        </w:tc>
      </w:tr>
      <w:tr w:rsidR="00DF6414" w:rsidRPr="00216D93" w14:paraId="187CEE37" w14:textId="77777777" w:rsidTr="00FD207C">
        <w:tc>
          <w:tcPr>
            <w:tcW w:w="2738" w:type="dxa"/>
          </w:tcPr>
          <w:p w14:paraId="28323970"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5 Fatal</w:t>
            </w:r>
          </w:p>
        </w:tc>
        <w:tc>
          <w:tcPr>
            <w:tcW w:w="1275" w:type="dxa"/>
            <w:shd w:val="clear" w:color="auto" w:fill="FBD4B4" w:themeFill="accent6" w:themeFillTint="66"/>
          </w:tcPr>
          <w:p w14:paraId="29D24792"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5</w:t>
            </w:r>
          </w:p>
        </w:tc>
        <w:tc>
          <w:tcPr>
            <w:tcW w:w="1471" w:type="dxa"/>
            <w:shd w:val="clear" w:color="auto" w:fill="E36C0A" w:themeFill="accent6" w:themeFillShade="BF"/>
          </w:tcPr>
          <w:p w14:paraId="03106344"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10</w:t>
            </w:r>
          </w:p>
        </w:tc>
        <w:tc>
          <w:tcPr>
            <w:tcW w:w="1506" w:type="dxa"/>
            <w:shd w:val="clear" w:color="auto" w:fill="E36C0A" w:themeFill="accent6" w:themeFillShade="BF"/>
          </w:tcPr>
          <w:p w14:paraId="26BCD629"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15</w:t>
            </w:r>
          </w:p>
        </w:tc>
        <w:tc>
          <w:tcPr>
            <w:tcW w:w="1418" w:type="dxa"/>
            <w:shd w:val="clear" w:color="auto" w:fill="FF0000"/>
          </w:tcPr>
          <w:p w14:paraId="3570AE0D"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20</w:t>
            </w:r>
          </w:p>
        </w:tc>
        <w:tc>
          <w:tcPr>
            <w:tcW w:w="1701" w:type="dxa"/>
            <w:shd w:val="clear" w:color="auto" w:fill="FF0000"/>
          </w:tcPr>
          <w:p w14:paraId="3ED1FA52" w14:textId="77777777" w:rsidR="00DF6414" w:rsidRPr="00216D93" w:rsidRDefault="00DF6414" w:rsidP="00FD207C">
            <w:pPr>
              <w:rPr>
                <w:rFonts w:ascii="Aptos Display" w:hAnsi="Aptos Display"/>
                <w:sz w:val="20"/>
                <w:szCs w:val="20"/>
              </w:rPr>
            </w:pPr>
            <w:r w:rsidRPr="00216D93">
              <w:rPr>
                <w:rFonts w:ascii="Aptos" w:hAnsi="Aptos" w:eastAsia="Aptos" w:cs="Aptos"/>
                <w:sz w:val="20"/>
                <w:szCs w:val="20"/>
              </w:rPr>
              <w:t>25</w:t>
            </w:r>
          </w:p>
        </w:tc>
      </w:tr>
    </w:tbl>
    <w:p w14:paraId="0BCB5FF8" w14:textId="77777777" w:rsidR="00DF6414" w:rsidRDefault="00DF6414" w:rsidP="00DF6414"/>
    <w:p w14:paraId="142D521D" w14:textId="77777777" w:rsidR="00DF6414" w:rsidRPr="00326589" w:rsidRDefault="00DF6414" w:rsidP="00DF6414">
      <w:pPr>
        <w:rPr>
          <w:rFonts w:ascii="Aptos Display" w:hAnsi="Aptos Display"/>
          <w:sz w:val="20"/>
          <w:szCs w:val="20"/>
        </w:rPr>
      </w:pPr>
      <w:r w:rsidRPr="00216D93">
        <w:rPr>
          <w:rFonts w:ascii="Aptos" w:hAnsi="Aptos" w:eastAsia="Aptos" w:cs="Aptos"/>
          <w:sz w:val="20"/>
          <w:szCs w:val="20"/>
        </w:rPr>
        <w:t>Risk bands: 1–4 Low | 5–9 Medium | 10–16 High | 17–25 Intolerable</w:t>
      </w:r>
    </w:p>
    <w:p w14:paraId="48C397DB" w14:textId="77777777" w:rsidR="00183C5A" w:rsidRPr="00123105" w:rsidRDefault="00000000">
      <w:pPr>
        <w:pStyle w:val="Heading2"/>
        <w:rPr>
          <w:rFonts w:ascii="Aptos Display" w:hAnsi="Aptos Display"/>
          <w:color w:val="auto"/>
          <w:sz w:val="20"/>
          <w:szCs w:val="20"/>
        </w:rPr>
      </w:pPr>
      <w:r w:rsidRPr="00123105">
        <w:rPr>
          <w:rFonts w:ascii="Aptos" w:hAnsi="Aptos" w:eastAsia="Aptos" w:cs="Aptos"/>
          <w:color w:val="auto"/>
          <w:sz w:val="20"/>
          <w:szCs w:val="20"/>
        </w:rPr>
        <w:t>7. Relevant UK Legislation, Guidance &amp; Good Practice</w:t>
      </w:r>
    </w:p>
    <w:p w14:paraId="12A57FBB" w14:textId="77777777" w:rsidR="00183C5A" w:rsidRPr="00123105" w:rsidRDefault="00000000" w:rsidP="00123105">
      <w:pPr>
        <w:spacing w:after="0"/>
        <w:rPr>
          <w:rFonts w:ascii="Aptos Display" w:hAnsi="Aptos Display"/>
          <w:sz w:val="20"/>
          <w:szCs w:val="20"/>
        </w:rPr>
      </w:pPr>
      <w:r w:rsidRPr="00123105">
        <w:rPr>
          <w:rFonts w:ascii="Aptos" w:hAnsi="Aptos" w:eastAsia="Aptos" w:cs="Aptos"/>
          <w:sz w:val="20"/>
          <w:szCs w:val="20"/>
        </w:rPr>
        <w:t>Health and Safety at Work etc. Act 1974</w:t>
      </w:r>
    </w:p>
    <w:p w14:paraId="7221F43C" w14:textId="77777777" w:rsidR="00183C5A" w:rsidRPr="00123105" w:rsidRDefault="00000000" w:rsidP="00123105">
      <w:pPr>
        <w:spacing w:after="0"/>
        <w:rPr>
          <w:rFonts w:ascii="Aptos Display" w:hAnsi="Aptos Display"/>
          <w:sz w:val="20"/>
          <w:szCs w:val="20"/>
        </w:rPr>
      </w:pPr>
      <w:r w:rsidRPr="00123105">
        <w:rPr>
          <w:rFonts w:ascii="Aptos" w:hAnsi="Aptos" w:eastAsia="Aptos" w:cs="Aptos"/>
          <w:sz w:val="20"/>
          <w:szCs w:val="20"/>
        </w:rPr>
        <w:t>Management of Health and Safety at Work Regulations 1999</w:t>
      </w:r>
    </w:p>
    <w:p w14:paraId="1BA390B1" w14:textId="77777777" w:rsidR="00183C5A" w:rsidRPr="00123105" w:rsidRDefault="00000000" w:rsidP="00123105">
      <w:pPr>
        <w:spacing w:after="0"/>
        <w:rPr>
          <w:rFonts w:ascii="Aptos Display" w:hAnsi="Aptos Display"/>
          <w:sz w:val="20"/>
          <w:szCs w:val="20"/>
        </w:rPr>
      </w:pPr>
      <w:r w:rsidRPr="00123105">
        <w:rPr>
          <w:rFonts w:ascii="Aptos" w:hAnsi="Aptos" w:eastAsia="Aptos" w:cs="Aptos"/>
          <w:sz w:val="20"/>
          <w:szCs w:val="20"/>
        </w:rPr>
        <w:t>Provision and Use of Work Equipment Regulations 1998 (PUWER)</w:t>
      </w:r>
    </w:p>
    <w:p w14:paraId="6CF2A98B" w14:textId="77777777" w:rsidR="00183C5A" w:rsidRPr="00123105" w:rsidRDefault="00000000" w:rsidP="00123105">
      <w:pPr>
        <w:spacing w:after="0"/>
        <w:rPr>
          <w:rFonts w:ascii="Aptos Display" w:hAnsi="Aptos Display"/>
          <w:sz w:val="20"/>
          <w:szCs w:val="20"/>
        </w:rPr>
      </w:pPr>
      <w:r w:rsidRPr="00123105">
        <w:rPr>
          <w:rFonts w:ascii="Aptos" w:hAnsi="Aptos" w:eastAsia="Aptos" w:cs="Aptos"/>
          <w:sz w:val="20"/>
          <w:szCs w:val="20"/>
        </w:rPr>
        <w:t>Work at Height Regulations 2005</w:t>
      </w:r>
    </w:p>
    <w:p w14:paraId="345F3222" w14:textId="77777777" w:rsidR="00183C5A" w:rsidRPr="00123105" w:rsidRDefault="00000000" w:rsidP="00123105">
      <w:pPr>
        <w:spacing w:after="0"/>
        <w:rPr>
          <w:rFonts w:ascii="Aptos Display" w:hAnsi="Aptos Display"/>
          <w:sz w:val="20"/>
          <w:szCs w:val="20"/>
        </w:rPr>
      </w:pPr>
      <w:r w:rsidRPr="00123105">
        <w:rPr>
          <w:rFonts w:ascii="Aptos" w:hAnsi="Aptos" w:eastAsia="Aptos" w:cs="Aptos"/>
          <w:sz w:val="20"/>
          <w:szCs w:val="20"/>
        </w:rPr>
        <w:t>Control of Noise at Work Regulations 2005</w:t>
      </w:r>
    </w:p>
    <w:p w14:paraId="431306C3" w14:textId="77777777" w:rsidR="00183C5A" w:rsidRPr="00123105" w:rsidRDefault="00000000" w:rsidP="00123105">
      <w:pPr>
        <w:spacing w:after="0"/>
        <w:rPr>
          <w:rFonts w:ascii="Aptos Display" w:hAnsi="Aptos Display"/>
          <w:sz w:val="20"/>
          <w:szCs w:val="20"/>
        </w:rPr>
      </w:pPr>
      <w:r w:rsidRPr="00123105">
        <w:rPr>
          <w:rFonts w:ascii="Aptos" w:hAnsi="Aptos" w:eastAsia="Aptos" w:cs="Aptos"/>
          <w:sz w:val="20"/>
          <w:szCs w:val="20"/>
        </w:rPr>
        <w:t>Control of Vibration at Work Regulations 2005</w:t>
      </w:r>
    </w:p>
    <w:p w14:paraId="4BF73A76" w14:textId="77777777" w:rsidR="00183C5A" w:rsidRPr="00123105" w:rsidRDefault="00000000" w:rsidP="00123105">
      <w:pPr>
        <w:spacing w:after="0"/>
        <w:rPr>
          <w:rFonts w:ascii="Aptos Display" w:hAnsi="Aptos Display"/>
          <w:sz w:val="20"/>
          <w:szCs w:val="20"/>
        </w:rPr>
      </w:pPr>
      <w:r w:rsidRPr="00123105">
        <w:rPr>
          <w:rFonts w:ascii="Aptos" w:hAnsi="Aptos" w:eastAsia="Aptos" w:cs="Aptos"/>
          <w:sz w:val="20"/>
          <w:szCs w:val="20"/>
        </w:rPr>
        <w:t>Electricity at Work Regulations 1989</w:t>
      </w:r>
    </w:p>
    <w:p w14:paraId="668A8F9D" w14:textId="77777777" w:rsidR="00183C5A" w:rsidRPr="00123105" w:rsidRDefault="00000000" w:rsidP="00123105">
      <w:pPr>
        <w:spacing w:after="0"/>
        <w:rPr>
          <w:rFonts w:ascii="Aptos Display" w:hAnsi="Aptos Display"/>
          <w:sz w:val="20"/>
          <w:szCs w:val="20"/>
        </w:rPr>
      </w:pPr>
      <w:r w:rsidRPr="00123105">
        <w:rPr>
          <w:rFonts w:ascii="Aptos" w:hAnsi="Aptos" w:eastAsia="Aptos" w:cs="Aptos"/>
          <w:sz w:val="20"/>
          <w:szCs w:val="20"/>
        </w:rPr>
        <w:t>HSE INDG229 – Using Work Equipment Safely</w:t>
      </w:r>
    </w:p>
    <w:p w14:paraId="6CB47690" w14:textId="77777777" w:rsidR="00183C5A" w:rsidRPr="00123105" w:rsidRDefault="00000000" w:rsidP="00123105">
      <w:pPr>
        <w:spacing w:after="0"/>
        <w:rPr>
          <w:rFonts w:ascii="Aptos Display" w:hAnsi="Aptos Display"/>
          <w:sz w:val="20"/>
          <w:szCs w:val="20"/>
        </w:rPr>
      </w:pPr>
      <w:r w:rsidRPr="00123105">
        <w:rPr>
          <w:rFonts w:ascii="Aptos" w:hAnsi="Aptos" w:eastAsia="Aptos" w:cs="Aptos"/>
          <w:sz w:val="20"/>
          <w:szCs w:val="20"/>
        </w:rPr>
        <w:t>HSE INDG402 – Safe Use of Ladders and Step Ladders</w:t>
      </w:r>
    </w:p>
    <w:p w14:paraId="62356E2B" w14:textId="77777777" w:rsidR="00183C5A" w:rsidRPr="00123105" w:rsidRDefault="00000000" w:rsidP="00123105">
      <w:pPr>
        <w:spacing w:after="0"/>
        <w:rPr>
          <w:rFonts w:ascii="Aptos Display" w:hAnsi="Aptos Display"/>
          <w:sz w:val="20"/>
          <w:szCs w:val="20"/>
        </w:rPr>
      </w:pPr>
      <w:r w:rsidRPr="00123105">
        <w:rPr>
          <w:rFonts w:ascii="Aptos" w:hAnsi="Aptos" w:eastAsia="Aptos" w:cs="Aptos"/>
          <w:sz w:val="20"/>
          <w:szCs w:val="20"/>
        </w:rPr>
        <w:t>FISA 802 – Emergency Planning</w:t>
      </w:r>
    </w:p>
    <w:p w14:paraId="36D04B34" w14:textId="77777777" w:rsidR="00183C5A" w:rsidRPr="00123105" w:rsidRDefault="00000000" w:rsidP="00123105">
      <w:pPr>
        <w:spacing w:after="0"/>
        <w:rPr>
          <w:rFonts w:ascii="Aptos Display" w:hAnsi="Aptos Display"/>
          <w:sz w:val="20"/>
          <w:szCs w:val="20"/>
        </w:rPr>
      </w:pPr>
      <w:r w:rsidRPr="00123105">
        <w:rPr>
          <w:rFonts w:ascii="Aptos" w:hAnsi="Aptos" w:eastAsia="Aptos" w:cs="Aptos"/>
          <w:sz w:val="20"/>
          <w:szCs w:val="20"/>
        </w:rPr>
        <w:t>FISA 804 – Electricity at Work Forestry &amp; Arboriculture</w:t>
      </w:r>
    </w:p>
    <w:p w14:paraId="6FE1CCB9" w14:textId="77777777" w:rsidR="00183C5A" w:rsidRPr="00123105" w:rsidRDefault="00000000" w:rsidP="00123105">
      <w:pPr>
        <w:spacing w:after="0"/>
        <w:rPr>
          <w:rFonts w:ascii="Aptos Display" w:hAnsi="Aptos Display"/>
          <w:sz w:val="20"/>
          <w:szCs w:val="20"/>
        </w:rPr>
      </w:pPr>
      <w:r w:rsidRPr="00123105">
        <w:rPr>
          <w:rFonts w:ascii="Aptos" w:hAnsi="Aptos" w:eastAsia="Aptos" w:cs="Aptos"/>
          <w:sz w:val="20"/>
          <w:szCs w:val="20"/>
        </w:rPr>
        <w:t>FISA 805 – Training and Certification</w:t>
      </w:r>
    </w:p>
    <w:p w14:paraId="4477D64F" w14:textId="77777777" w:rsidR="00183C5A" w:rsidRPr="00123105" w:rsidRDefault="00000000">
      <w:pPr>
        <w:pStyle w:val="Heading2"/>
        <w:rPr>
          <w:rFonts w:ascii="Aptos Display" w:hAnsi="Aptos Display"/>
          <w:color w:val="auto"/>
          <w:sz w:val="20"/>
          <w:szCs w:val="20"/>
        </w:rPr>
      </w:pPr>
      <w:r w:rsidRPr="00123105">
        <w:rPr>
          <w:rFonts w:ascii="Aptos" w:hAnsi="Aptos" w:eastAsia="Aptos" w:cs="Aptos"/>
          <w:color w:val="auto"/>
          <w:sz w:val="20"/>
          <w:szCs w:val="20"/>
        </w:rPr>
        <w:t>8. Hazards &amp; Control Measures</w:t>
      </w:r>
    </w:p>
    <w:tbl>
      <w:tblPr>
        <w:tblW w:w="0" w:type="auto"/>
        <w:jc w:val="center"/>
        <w:tblLayout w:type="fixed"/>
        <w:tblLook w:val="04A0" w:firstRow="1" w:lastRow="0" w:firstColumn="1" w:lastColumn="0" w:noHBand="0" w:noVBand="1"/>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1928"/>
        <w:gridCol w:w="1518"/>
        <w:gridCol w:w="2085"/>
        <w:gridCol w:w="840"/>
        <w:gridCol w:w="839"/>
        <w:gridCol w:w="1102"/>
        <w:gridCol w:w="3209"/>
        <w:gridCol w:w="1429"/>
        <w:gridCol w:w="720"/>
        <w:gridCol w:w="936"/>
      </w:tblGrid>
      <w:tr w:rsidR="00123105" w:rsidRPr="00123105" w14:paraId="1827A2BC" w14:textId="77777777" w:rsidTr="00123105">
        <w:trPr>
          <w:jc w:val="center"/>
          <w:tblHeader w:val="true"/>
          <w:cantSplit/>
        </w:trPr>
        <w:tc>
          <w:tcPr>
            <w:tcW w:w="1368"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Hazard</w:t>
            </w:r>
          </w:p>
        </w:tc>
        <w:tc>
          <w:tcPr>
            <w:tcW w:w="1080"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Persons at Risk</w:t>
            </w:r>
          </w:p>
        </w:tc>
        <w:tc>
          <w:tcPr>
            <w:tcW w:w="158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How Harm May Occur</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w:t>
            </w:r>
          </w:p>
        </w:tc>
        <w:tc>
          <w:tcPr>
            <w:tcW w:w="576"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S</w:t>
            </w:r>
          </w:p>
        </w:tc>
        <w:tc>
          <w:tcPr>
            <w:tcW w:w="835"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Initial L×S</w:t>
            </w:r>
          </w:p>
        </w:tc>
        <w:tc>
          <w:tcPr>
            <w:tcW w:w="4104" w:type="dxa"/>
            <w:shd w:val="clear" w:color="auto" w:fill="5E4B56" w:themeFill="background1" w:themeFillShade="D9"/>
            <w:vAlign w:val="center"/>
          </w:tcPr>
          <w:p>
            <w:pPr>
              <w:spacing w:after="0" w:line="240" w:lineRule="auto"/>
              <w:jc w:val="left"/>
            </w:pPr>
            <w:r>
              <w:rPr>
                <w:rFonts w:ascii="Aptos" w:hAnsi="Aptos" w:eastAsia="Aptos" w:cs="Aptos"/>
                <w:sz w:val="20"/>
              </w:rPr>
            </w:r>
            <w:r>
              <w:rPr>
                <w:rFonts w:ascii="Aptos" w:hAnsi="Aptos" w:eastAsia="Aptos" w:cs="Aptos"/>
                <w:b/>
                <w:color w:val="FFFFFF"/>
                <w:sz w:val="20"/>
              </w:rPr>
              <w:t>Control Measures</w:t>
            </w:r>
          </w:p>
        </w:tc>
        <w:tc>
          <w:tcPr>
            <w:tcW w:w="720" w:type="dxa"/>
            <w:shd w:val="clear" w:color="auto" w:fill="5E4B56" w:themeFill="background1" w:themeFillShade="D9"/>
            <w:vAlign w:val="center"/>
          </w:tcPr>
          <w:p>
            <w:pPr>
              <w:spacing w:after="0" w:line="240" w:lineRule="auto"/>
              <w:jc w:val="center"/>
            </w:pPr>
            <w:r>
              <w:rPr>
                <w:rFonts w:ascii="Aptos" w:hAnsi="Aptos" w:eastAsia="Aptos" w:cs="Aptos"/>
                <w:sz w:val="20"/>
              </w:rPr>
            </w:r>
            <w:r>
              <w:rPr>
                <w:rFonts w:ascii="Aptos" w:hAnsi="Aptos" w:eastAsia="Aptos" w:cs="Aptos"/>
                <w:b/>
                <w:color w:val="FFFFFF"/>
                <w:sz w:val="20"/>
              </w:rPr>
              <w:t>Res. L</w:t>
            </w:r>
          </w:p>
        </w:tc>
        <w:tc>
          <w:tcPr>
            <w:tcW w:type="dxa" w:w="720"/>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S</w:t>
            </w:r>
          </w:p>
        </w:tc>
        <w:tc>
          <w:tcPr>
            <w:tcW w:type="dxa" w:w="936"/>
            <w:vAlign w:val="center"/>
            <w:shd w:fill="5E4B56"/>
          </w:tcPr>
          <w:p>
            <w:pPr>
              <w:spacing w:after="0" w:line="240" w:lineRule="auto"/>
              <w:jc w:val="center"/>
            </w:pPr>
            <w:r>
              <w:rPr>
                <w:rFonts w:ascii="Aptos" w:hAnsi="Aptos" w:eastAsia="Aptos" w:cs="Aptos"/>
                <w:sz w:val="20"/>
              </w:rPr>
            </w:r>
            <w:r>
              <w:rPr>
                <w:rFonts w:ascii="Aptos" w:hAnsi="Aptos" w:eastAsia="Aptos" w:cs="Aptos"/>
                <w:b/>
                <w:color w:val="FFFFFF"/>
                <w:sz w:val="20"/>
              </w:rPr>
              <w:t>Res. L×S</w:t>
            </w:r>
          </w:p>
        </w:tc>
      </w:tr>
      <w:tr w:rsidR="00123105" w:rsidRPr="00123105" w14:paraId="1CD248F4" w14:textId="77777777" w:rsidTr="00123105">
        <w:trPr>
          <w:jc w:val="center"/>
          <w:cantSplit/>
        </w:trPr>
        <w:tc>
          <w:tcPr>
            <w:tcW w:w="1368" w:type="dxa"/>
            <w:shd w:fill="FFFFFF"/>
          </w:tcPr>
          <w:p w14:paraId="439AB2BB"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Cuts from blades (manual or powered)</w:t>
            </w:r>
          </w:p>
        </w:tc>
        <w:tc>
          <w:tcPr>
            <w:tcW w:w="1080" w:type="dxa"/>
            <w:shd w:fill="FFFFFF"/>
          </w:tcPr>
          <w:p w14:paraId="20C77EC3"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Operator</w:t>
            </w:r>
          </w:p>
        </w:tc>
        <w:tc>
          <w:tcPr>
            <w:tcW w:w="1584" w:type="dxa"/>
            <w:shd w:fill="FFFFFF"/>
          </w:tcPr>
          <w:p w14:paraId="2056B59D"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Lacerations from hedge trimmer or hand tools</w:t>
            </w:r>
          </w:p>
        </w:tc>
        <w:tc>
          <w:tcPr>
            <w:tcW w:w="576" w:type="dxa"/>
            <w:shd w:val="clear" w:color="auto" w:fill="FFFFFF"/>
          </w:tcPr>
          <w:p w14:paraId="39821968"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576" w:type="dxa"/>
            <w:shd w:val="clear" w:color="auto" w:fill="FFFFFF"/>
          </w:tcPr>
          <w:p w14:paraId="4F158EA9"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4</w:t>
            </w:r>
          </w:p>
        </w:tc>
        <w:tc>
          <w:tcPr>
            <w:tcW w:w="835" w:type="dxa"/>
            <w:shd w:val="clear" w:color="auto" w:fill="ED7D31" w:themeFill="accent6" w:themeFillShade="BF"/>
          </w:tcPr>
          <w:p w14:paraId="090EC81C"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color w:val="FFFFFF"/>
                <w:sz w:val="20"/>
                <w:szCs w:val="20"/>
              </w:rPr>
              <w:t>12</w:t>
            </w:r>
          </w:p>
        </w:tc>
        <w:tc>
          <w:tcPr>
            <w:tcW w:w="4104" w:type="dxa"/>
            <w:shd w:fill="FFFFFF"/>
          </w:tcPr>
          <w:p w14:paraId="171F7E11"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Operators trained and competent; two-handed operation; guards in place; PPE worn; equipment maintained; isolation before maintenance.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123105" w:rsidRPr="00123105" w14:paraId="63192C59" w14:textId="77777777" w:rsidTr="00123105">
        <w:trPr>
          <w:jc w:val="center"/>
          <w:cantSplit/>
        </w:trPr>
        <w:tc>
          <w:tcPr>
            <w:tcW w:w="1368" w:type="dxa"/>
            <w:shd w:fill="F4F0F7"/>
          </w:tcPr>
          <w:p w14:paraId="4A4585AB"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Ejection of debris</w:t>
            </w:r>
          </w:p>
        </w:tc>
        <w:tc>
          <w:tcPr>
            <w:tcW w:w="1080" w:type="dxa"/>
            <w:shd w:fill="F4F0F7"/>
          </w:tcPr>
          <w:p w14:paraId="6825C078"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Operator, public</w:t>
            </w:r>
          </w:p>
        </w:tc>
        <w:tc>
          <w:tcPr>
            <w:tcW w:w="1584" w:type="dxa"/>
            <w:shd w:fill="F4F0F7"/>
          </w:tcPr>
          <w:p w14:paraId="0B55A326"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Eye injury from thrown material</w:t>
            </w:r>
          </w:p>
        </w:tc>
        <w:tc>
          <w:tcPr>
            <w:tcW w:w="576" w:type="dxa"/>
            <w:shd w:val="clear" w:color="auto" w:fill="F4F0F7"/>
          </w:tcPr>
          <w:p w14:paraId="6F609D54"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576" w:type="dxa"/>
            <w:shd w:val="clear" w:color="auto" w:fill="F4F0F7"/>
          </w:tcPr>
          <w:p w14:paraId="68808604"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4</w:t>
            </w:r>
          </w:p>
        </w:tc>
        <w:tc>
          <w:tcPr>
            <w:tcW w:w="835" w:type="dxa"/>
            <w:shd w:val="clear" w:color="auto" w:fill="ED7D31" w:themeFill="accent6" w:themeFillShade="BF"/>
          </w:tcPr>
          <w:p w14:paraId="25A233E0"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color w:val="FFFFFF"/>
                <w:sz w:val="20"/>
                <w:szCs w:val="20"/>
              </w:rPr>
              <w:t>12</w:t>
            </w:r>
          </w:p>
        </w:tc>
        <w:tc>
          <w:tcPr>
            <w:tcW w:w="4104" w:type="dxa"/>
            <w:shd w:fill="F4F0F7"/>
          </w:tcPr>
          <w:p w14:paraId="5AACEBD8"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Exclusion zone established (minimum 5m); eye protection worn; public kept clear; work stopped if zone breached.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123105" w:rsidRPr="00123105" w14:paraId="1FFD3A56" w14:textId="77777777" w:rsidTr="00123105">
        <w:trPr>
          <w:jc w:val="center"/>
          <w:cantSplit/>
        </w:trPr>
        <w:tc>
          <w:tcPr>
            <w:tcW w:w="1368" w:type="dxa"/>
            <w:shd w:fill="FFFFFF"/>
          </w:tcPr>
          <w:p w14:paraId="57C74D70"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Working at height (steps/ladders)</w:t>
            </w:r>
          </w:p>
        </w:tc>
        <w:tc>
          <w:tcPr>
            <w:tcW w:w="1080" w:type="dxa"/>
            <w:shd w:fill="FFFFFF"/>
          </w:tcPr>
          <w:p w14:paraId="13F2AC3D"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Operator, assistant</w:t>
            </w:r>
          </w:p>
        </w:tc>
        <w:tc>
          <w:tcPr>
            <w:tcW w:w="1584" w:type="dxa"/>
            <w:shd w:fill="FFFFFF"/>
          </w:tcPr>
          <w:p w14:paraId="5FC65EE0"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Fall from ladder causing fracture or head injury</w:t>
            </w:r>
          </w:p>
        </w:tc>
        <w:tc>
          <w:tcPr>
            <w:tcW w:w="576" w:type="dxa"/>
            <w:shd w:val="clear" w:color="auto" w:fill="FFFFFF"/>
          </w:tcPr>
          <w:p w14:paraId="5832927D"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576" w:type="dxa"/>
            <w:shd w:val="clear" w:color="auto" w:fill="FFFFFF"/>
          </w:tcPr>
          <w:p w14:paraId="272A9A75"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4</w:t>
            </w:r>
          </w:p>
        </w:tc>
        <w:tc>
          <w:tcPr>
            <w:tcW w:w="835" w:type="dxa"/>
            <w:shd w:val="clear" w:color="auto" w:fill="ED7D31" w:themeFill="accent6" w:themeFillShade="BF"/>
          </w:tcPr>
          <w:p w14:paraId="28743433"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color w:val="FFFFFF"/>
                <w:sz w:val="20"/>
                <w:szCs w:val="20"/>
              </w:rPr>
              <w:t>12</w:t>
            </w:r>
          </w:p>
        </w:tc>
        <w:tc>
          <w:tcPr>
            <w:tcW w:w="4104" w:type="dxa"/>
            <w:shd w:fill="FFFFFF"/>
          </w:tcPr>
          <w:p w14:paraId="0D035D20"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Use of ladders minimised; ladder inspected pre-use; stable ground selected; assistant footing ladder; no overreaching; compliance with WAHR.</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123105" w:rsidRPr="00123105" w14:paraId="5FE568BA" w14:textId="77777777" w:rsidTr="00123105">
        <w:trPr>
          <w:jc w:val="center"/>
          <w:cantSplit/>
        </w:trPr>
        <w:tc>
          <w:tcPr>
            <w:tcW w:w="1368" w:type="dxa"/>
            <w:shd w:fill="F4F0F7"/>
          </w:tcPr>
          <w:p w14:paraId="50B3A93E"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Manual handling of hedge arisings</w:t>
            </w:r>
          </w:p>
        </w:tc>
        <w:tc>
          <w:tcPr>
            <w:tcW w:w="1080" w:type="dxa"/>
            <w:shd w:fill="F4F0F7"/>
          </w:tcPr>
          <w:p w14:paraId="17708B9D"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Operator</w:t>
            </w:r>
          </w:p>
        </w:tc>
        <w:tc>
          <w:tcPr>
            <w:tcW w:w="1584" w:type="dxa"/>
            <w:shd w:fill="F4F0F7"/>
          </w:tcPr>
          <w:p w14:paraId="53A8C294"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Back strain or musculoskeletal injury</w:t>
            </w:r>
          </w:p>
        </w:tc>
        <w:tc>
          <w:tcPr>
            <w:tcW w:w="576" w:type="dxa"/>
            <w:shd w:val="clear" w:color="auto" w:fill="F4F0F7"/>
          </w:tcPr>
          <w:p w14:paraId="0C3D789E"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576" w:type="dxa"/>
            <w:shd w:val="clear" w:color="auto" w:fill="F4F0F7"/>
          </w:tcPr>
          <w:p w14:paraId="2D48F880"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835" w:type="dxa"/>
            <w:shd w:val="clear" w:color="auto" w:fill="F8CBAD" w:themeFill="accent6" w:themeFillTint="33"/>
          </w:tcPr>
          <w:p w14:paraId="63721BB1"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color w:val="000000"/>
                <w:sz w:val="20"/>
                <w:szCs w:val="20"/>
              </w:rPr>
              <w:t>9</w:t>
            </w:r>
          </w:p>
        </w:tc>
        <w:tc>
          <w:tcPr>
            <w:tcW w:w="4104" w:type="dxa"/>
            <w:shd w:fill="F4F0F7"/>
          </w:tcPr>
          <w:p w14:paraId="2B9D434C"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Work planned to reduce lifting; mechanical aids used where possible; correct lifting techniques applied; task rotation implemented.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123105" w:rsidRPr="00123105" w14:paraId="5899C1E6" w14:textId="77777777" w:rsidTr="00123105">
        <w:trPr>
          <w:jc w:val="center"/>
          <w:cantSplit/>
        </w:trPr>
        <w:tc>
          <w:tcPr>
            <w:tcW w:w="1368" w:type="dxa"/>
            <w:shd w:fill="FFFFFF"/>
          </w:tcPr>
          <w:p w14:paraId="7EEF8DD8"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Use of pole hedge trimmer</w:t>
            </w:r>
          </w:p>
        </w:tc>
        <w:tc>
          <w:tcPr>
            <w:tcW w:w="1080" w:type="dxa"/>
            <w:shd w:fill="FFFFFF"/>
          </w:tcPr>
          <w:p w14:paraId="47219559"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Operator</w:t>
            </w:r>
          </w:p>
        </w:tc>
        <w:tc>
          <w:tcPr>
            <w:tcW w:w="1584" w:type="dxa"/>
            <w:shd w:fill="FFFFFF"/>
          </w:tcPr>
          <w:p w14:paraId="6E6B572A"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Muscle strain or falling material striking operator</w:t>
            </w:r>
          </w:p>
        </w:tc>
        <w:tc>
          <w:tcPr>
            <w:tcW w:w="576" w:type="dxa"/>
            <w:shd w:val="clear" w:color="auto" w:fill="FFFFFF"/>
          </w:tcPr>
          <w:p w14:paraId="26FBCC50"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576" w:type="dxa"/>
            <w:shd w:val="clear" w:color="auto" w:fill="FFFFFF"/>
          </w:tcPr>
          <w:p w14:paraId="24D9DBAD"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4</w:t>
            </w:r>
          </w:p>
        </w:tc>
        <w:tc>
          <w:tcPr>
            <w:tcW w:w="835" w:type="dxa"/>
            <w:shd w:val="clear" w:color="auto" w:fill="ED7D31" w:themeFill="accent6" w:themeFillShade="BF"/>
          </w:tcPr>
          <w:p w14:paraId="54CD41AE"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color w:val="FFFFFF"/>
                <w:sz w:val="20"/>
                <w:szCs w:val="20"/>
              </w:rPr>
              <w:t>12</w:t>
            </w:r>
          </w:p>
        </w:tc>
        <w:tc>
          <w:tcPr>
            <w:tcW w:w="4104" w:type="dxa"/>
            <w:shd w:fill="FFFFFF"/>
          </w:tcPr>
          <w:p w14:paraId="615D9523"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Small sections removed; operator positioned outside drop zone; correct head angle selected; two-handed operation maintained.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123105" w:rsidRPr="00123105" w14:paraId="05BFF130" w14:textId="77777777" w:rsidTr="00123105">
        <w:trPr>
          <w:jc w:val="center"/>
          <w:cantSplit/>
        </w:trPr>
        <w:tc>
          <w:tcPr>
            <w:tcW w:w="1368" w:type="dxa"/>
            <w:shd w:fill="F4F0F7"/>
          </w:tcPr>
          <w:p w14:paraId="1DB073DE"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 xml:space="preserve">Contact with </w:t>
            </w:r>
            <w:r w:rsidRPr="00123105">
              <w:rPr>
                <w:rFonts w:ascii="Aptos" w:hAnsi="Aptos" w:eastAsia="Aptos" w:cs="Aptos"/>
                <w:sz w:val="20"/>
                <w:szCs w:val="20"/>
              </w:rPr>
              <w:lastRenderedPageBreak/>
              <w:t>overhead utilities</w:t>
            </w:r>
          </w:p>
        </w:tc>
        <w:tc>
          <w:tcPr>
            <w:tcW w:w="1080" w:type="dxa"/>
            <w:shd w:fill="F4F0F7"/>
          </w:tcPr>
          <w:p w14:paraId="1559C0ED"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lastRenderedPageBreak/>
              <w:t>Operator</w:t>
            </w:r>
          </w:p>
        </w:tc>
        <w:tc>
          <w:tcPr>
            <w:tcW w:w="1584" w:type="dxa"/>
            <w:shd w:fill="F4F0F7"/>
          </w:tcPr>
          <w:p w14:paraId="2F4AFD32"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 xml:space="preserve">Electric shock or </w:t>
            </w:r>
            <w:r w:rsidRPr="00123105">
              <w:rPr>
                <w:rFonts w:ascii="Aptos" w:hAnsi="Aptos" w:eastAsia="Aptos" w:cs="Aptos"/>
                <w:sz w:val="20"/>
                <w:szCs w:val="20"/>
              </w:rPr>
              <w:lastRenderedPageBreak/>
              <w:t>fatality</w:t>
            </w:r>
          </w:p>
        </w:tc>
        <w:tc>
          <w:tcPr>
            <w:tcW w:w="576" w:type="dxa"/>
            <w:shd w:val="clear" w:color="auto" w:fill="F4F0F7"/>
          </w:tcPr>
          <w:p w14:paraId="6AE02A5F"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lastRenderedPageBreak/>
              <w:t>2</w:t>
            </w:r>
          </w:p>
        </w:tc>
        <w:tc>
          <w:tcPr>
            <w:tcW w:w="576" w:type="dxa"/>
            <w:shd w:val="clear" w:color="auto" w:fill="F4F0F7" w:themeFill="accent6" w:themeFillTint="33"/>
          </w:tcPr>
          <w:p w14:paraId="34C67C18"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5</w:t>
            </w:r>
          </w:p>
        </w:tc>
        <w:tc>
          <w:tcPr>
            <w:tcW w:w="835" w:type="dxa"/>
            <w:shd w:val="clear" w:color="auto" w:fill="ED7D31" w:themeFill="accent6" w:themeFillShade="BF"/>
          </w:tcPr>
          <w:p w14:paraId="3D9368AE"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color w:val="FFFFFF"/>
                <w:sz w:val="20"/>
                <w:szCs w:val="20"/>
              </w:rPr>
              <w:t>10</w:t>
            </w:r>
          </w:p>
        </w:tc>
        <w:tc>
          <w:tcPr>
            <w:tcW w:w="4104" w:type="dxa"/>
            <w:shd w:fill="F4F0F7"/>
          </w:tcPr>
          <w:p w14:paraId="5B23AB62"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 xml:space="preserve">Overhead cables identified during SSRA; minimum approach distances </w:t>
            </w:r>
            <w:r w:rsidRPr="00123105">
              <w:rPr>
                <w:rFonts w:ascii="Aptos" w:hAnsi="Aptos" w:eastAsia="Aptos" w:cs="Aptos"/>
                <w:sz w:val="20"/>
                <w:szCs w:val="20"/>
              </w:rPr>
              <w:lastRenderedPageBreak/>
              <w:t>maintained; FISA 804 guidance followed; isolation confirmed where required.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5</w:t>
            </w:r>
          </w:p>
        </w:tc>
        <w:tc>
          <w:tcPr>
            <w:tcW w:type="dxa" w:w="936"/>
            <w:vAlign w:val="center"/>
            <w:shd w:fill="F8CBAD"/>
          </w:tcPr>
          <w:p>
            <w:pPr>
              <w:spacing w:after="0" w:line="240" w:lineRule="auto"/>
              <w:jc w:val="center"/>
            </w:pPr>
            <w:r>
              <w:rPr>
                <w:rFonts w:ascii="Aptos" w:hAnsi="Aptos" w:eastAsia="Aptos" w:cs="Aptos"/>
                <w:sz w:val="20"/>
              </w:rPr>
            </w:r>
            <w:r>
              <w:rPr>
                <w:rFonts w:ascii="Aptos" w:hAnsi="Aptos" w:eastAsia="Aptos" w:cs="Aptos"/>
                <w:b/>
                <w:color w:val="000000"/>
                <w:sz w:val="20"/>
              </w:rPr>
              <w:t>5</w:t>
            </w:r>
          </w:p>
        </w:tc>
      </w:tr>
      <w:tr w:rsidR="00123105" w:rsidRPr="00123105" w14:paraId="2C2E6BDC" w14:textId="77777777" w:rsidTr="00123105">
        <w:trPr>
          <w:jc w:val="center"/>
          <w:cantSplit/>
        </w:trPr>
        <w:tc>
          <w:tcPr>
            <w:tcW w:w="1368" w:type="dxa"/>
            <w:shd w:fill="FFFFFF"/>
          </w:tcPr>
          <w:p w14:paraId="2F9482B3"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Noise exposure</w:t>
            </w:r>
          </w:p>
        </w:tc>
        <w:tc>
          <w:tcPr>
            <w:tcW w:w="1080" w:type="dxa"/>
            <w:shd w:fill="FFFFFF"/>
          </w:tcPr>
          <w:p w14:paraId="6F66E9B5"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Operator</w:t>
            </w:r>
          </w:p>
        </w:tc>
        <w:tc>
          <w:tcPr>
            <w:tcW w:w="1584" w:type="dxa"/>
            <w:shd w:fill="FFFFFF"/>
          </w:tcPr>
          <w:p w14:paraId="5A20B166"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Hearing damage</w:t>
            </w:r>
          </w:p>
        </w:tc>
        <w:tc>
          <w:tcPr>
            <w:tcW w:w="576" w:type="dxa"/>
            <w:shd w:val="clear" w:color="auto" w:fill="FFFFFF"/>
          </w:tcPr>
          <w:p w14:paraId="33427E6E"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576" w:type="dxa"/>
            <w:shd w:val="clear" w:color="auto" w:fill="FFFFFF"/>
          </w:tcPr>
          <w:p w14:paraId="18F91CC7"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835" w:type="dxa"/>
            <w:shd w:val="clear" w:color="auto" w:fill="F8CBAD" w:themeFill="accent6" w:themeFillTint="33"/>
          </w:tcPr>
          <w:p w14:paraId="27D1B777"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color w:val="000000"/>
                <w:sz w:val="20"/>
                <w:szCs w:val="20"/>
              </w:rPr>
              <w:t>9</w:t>
            </w:r>
          </w:p>
        </w:tc>
        <w:tc>
          <w:tcPr>
            <w:tcW w:w="4104" w:type="dxa"/>
            <w:shd w:fill="FFFFFF"/>
          </w:tcPr>
          <w:p w14:paraId="33781A69"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Hearing protection provided and worn; exposure assessed; equipment maintained.</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123105" w:rsidRPr="00123105" w14:paraId="73F77AA4" w14:textId="77777777" w:rsidTr="00123105">
        <w:trPr>
          <w:jc w:val="center"/>
          <w:cantSplit/>
        </w:trPr>
        <w:tc>
          <w:tcPr>
            <w:tcW w:w="1368" w:type="dxa"/>
            <w:shd w:fill="F4F0F7"/>
          </w:tcPr>
          <w:p w14:paraId="0BECA394"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Hand-arm vibration</w:t>
            </w:r>
          </w:p>
        </w:tc>
        <w:tc>
          <w:tcPr>
            <w:tcW w:w="1080" w:type="dxa"/>
            <w:shd w:fill="F4F0F7"/>
          </w:tcPr>
          <w:p w14:paraId="104C1147"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Operator</w:t>
            </w:r>
          </w:p>
        </w:tc>
        <w:tc>
          <w:tcPr>
            <w:tcW w:w="1584" w:type="dxa"/>
            <w:shd w:fill="F4F0F7"/>
          </w:tcPr>
          <w:p w14:paraId="513F8039"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HAVS or VWF</w:t>
            </w:r>
          </w:p>
        </w:tc>
        <w:tc>
          <w:tcPr>
            <w:tcW w:w="576" w:type="dxa"/>
            <w:shd w:val="clear" w:color="auto" w:fill="F4F0F7"/>
          </w:tcPr>
          <w:p w14:paraId="0C26E3BA"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576" w:type="dxa"/>
            <w:shd w:val="clear" w:color="auto" w:fill="F4F0F7"/>
          </w:tcPr>
          <w:p w14:paraId="4AFB01F4"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835" w:type="dxa"/>
            <w:shd w:val="clear" w:color="auto" w:fill="F8CBAD" w:themeFill="accent6" w:themeFillTint="33"/>
          </w:tcPr>
          <w:p w14:paraId="1A86CE00"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color w:val="000000"/>
                <w:sz w:val="20"/>
                <w:szCs w:val="20"/>
              </w:rPr>
              <w:t>9</w:t>
            </w:r>
          </w:p>
        </w:tc>
        <w:tc>
          <w:tcPr>
            <w:tcW w:w="4104" w:type="dxa"/>
            <w:shd w:fill="F4F0F7"/>
          </w:tcPr>
          <w:p w14:paraId="4099A01B"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Low vibration equipment selected; exposure monitored; health surveillance implemented where required.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r w:rsidR="00123105" w:rsidRPr="00123105" w14:paraId="5D952DD2" w14:textId="77777777" w:rsidTr="00123105">
        <w:trPr>
          <w:jc w:val="center"/>
          <w:cantSplit/>
        </w:trPr>
        <w:tc>
          <w:tcPr>
            <w:tcW w:w="1368" w:type="dxa"/>
            <w:shd w:fill="FFFFFF"/>
          </w:tcPr>
          <w:p w14:paraId="7828D837"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Fuel handling and fire risk</w:t>
            </w:r>
          </w:p>
        </w:tc>
        <w:tc>
          <w:tcPr>
            <w:tcW w:w="1080" w:type="dxa"/>
            <w:shd w:fill="FFFFFF"/>
          </w:tcPr>
          <w:p w14:paraId="51FBB2BC"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Operator, public</w:t>
            </w:r>
          </w:p>
        </w:tc>
        <w:tc>
          <w:tcPr>
            <w:tcW w:w="1584" w:type="dxa"/>
            <w:shd w:fill="FFFFFF"/>
          </w:tcPr>
          <w:p w14:paraId="4004C0C5"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Burns or fire during refuelling</w:t>
            </w:r>
          </w:p>
        </w:tc>
        <w:tc>
          <w:tcPr>
            <w:tcW w:w="576" w:type="dxa"/>
            <w:shd w:val="clear" w:color="auto" w:fill="FFFFFF"/>
          </w:tcPr>
          <w:p w14:paraId="116423AE"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576" w:type="dxa"/>
            <w:shd w:val="clear" w:color="auto" w:fill="FFFFFF"/>
          </w:tcPr>
          <w:p w14:paraId="49B98315"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4</w:t>
            </w:r>
          </w:p>
        </w:tc>
        <w:tc>
          <w:tcPr>
            <w:tcW w:w="835" w:type="dxa"/>
            <w:shd w:val="clear" w:color="auto" w:fill="ED7D31" w:themeFill="accent6" w:themeFillShade="BF"/>
          </w:tcPr>
          <w:p w14:paraId="6CE6914C"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color w:val="FFFFFF"/>
                <w:sz w:val="20"/>
                <w:szCs w:val="20"/>
              </w:rPr>
              <w:t>12</w:t>
            </w:r>
          </w:p>
        </w:tc>
        <w:tc>
          <w:tcPr>
            <w:tcW w:w="4104" w:type="dxa"/>
            <w:shd w:fill="FFFFFF"/>
          </w:tcPr>
          <w:p w14:paraId="6460F430"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Refuel in well-ventilated area; engine cooled before refuelling; approved containers used; no smoking; fire extinguisher available.</w:t>
            </w:r>
          </w:p>
        </w:tc>
        <w:tc>
          <w:tcPr>
            <w:tcW w:w="720" w:type="dxa"/>
            <w:shd w:val="clear" w:color="auto" w:fill="FFFFFF"/>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FFFFF"/>
          </w:tcPr>
          <w:p>
            <w:pPr>
              <w:spacing w:after="0" w:line="240" w:lineRule="auto"/>
              <w:jc w:val="center"/>
            </w:pPr>
            <w:r>
              <w:rPr>
                <w:rFonts w:ascii="Aptos" w:hAnsi="Aptos" w:eastAsia="Aptos" w:cs="Aptos"/>
                <w:sz w:val="20"/>
              </w:rPr>
            </w:r>
            <w:r>
              <w:rPr>
                <w:rFonts w:ascii="Aptos" w:hAnsi="Aptos" w:eastAsia="Aptos" w:cs="Aptos"/>
                <w:b w:val="0"/>
                <w:color w:val="000000"/>
                <w:sz w:val="20"/>
              </w:rPr>
              <w:t>4</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4</w:t>
            </w:r>
          </w:p>
        </w:tc>
      </w:tr>
      <w:tr w:rsidR="00123105" w:rsidRPr="00123105" w14:paraId="4D35836D" w14:textId="77777777" w:rsidTr="00123105">
        <w:trPr>
          <w:jc w:val="center"/>
          <w:cantSplit/>
        </w:trPr>
        <w:tc>
          <w:tcPr>
            <w:tcW w:w="1368" w:type="dxa"/>
            <w:shd w:fill="F4F0F7"/>
          </w:tcPr>
          <w:p w14:paraId="3F0BCC19"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Biological hazards (sharps, animal waste)</w:t>
            </w:r>
          </w:p>
        </w:tc>
        <w:tc>
          <w:tcPr>
            <w:tcW w:w="1080" w:type="dxa"/>
            <w:shd w:fill="F4F0F7"/>
          </w:tcPr>
          <w:p w14:paraId="42A1A9C2"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Operator</w:t>
            </w:r>
          </w:p>
        </w:tc>
        <w:tc>
          <w:tcPr>
            <w:tcW w:w="1584" w:type="dxa"/>
            <w:shd w:fill="F4F0F7"/>
          </w:tcPr>
          <w:p w14:paraId="4EFA46AD" w14:textId="77777777"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Infection from contaminated material</w:t>
            </w:r>
          </w:p>
        </w:tc>
        <w:tc>
          <w:tcPr>
            <w:tcW w:w="576" w:type="dxa"/>
            <w:shd w:val="clear" w:color="auto" w:fill="F4F0F7"/>
          </w:tcPr>
          <w:p w14:paraId="72763476"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576" w:type="dxa"/>
            <w:shd w:val="clear" w:color="auto" w:fill="F4F0F7"/>
          </w:tcPr>
          <w:p w14:paraId="3BC775FF"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sz w:val="20"/>
                <w:szCs w:val="20"/>
              </w:rPr>
              <w:t>3</w:t>
            </w:r>
          </w:p>
        </w:tc>
        <w:tc>
          <w:tcPr>
            <w:tcW w:w="835" w:type="dxa"/>
            <w:shd w:val="clear" w:color="auto" w:fill="F8CBAD" w:themeFill="accent6" w:themeFillTint="33"/>
          </w:tcPr>
          <w:p w14:paraId="6E069D76" w14:textId="77777777" w:rsidR="00183C5A" w:rsidRPr="00123105" w:rsidRDefault="00000000">
            <w:pPr>
              <w:spacing w:after="0" w:line="240" w:lineRule="auto"/>
              <w:jc w:val="center"/>
              <w:rPr>
                <w:rFonts w:ascii="Aptos Display" w:hAnsi="Aptos Display"/>
                <w:sz w:val="20"/>
                <w:szCs w:val="20"/>
              </w:rPr>
            </w:pPr>
            <w:r w:rsidRPr="00123105">
              <w:rPr>
                <w:rFonts w:ascii="Aptos" w:hAnsi="Aptos" w:eastAsia="Aptos" w:cs="Aptos"/>
                <w:color w:val="000000"/>
                <w:sz w:val="20"/>
                <w:szCs w:val="20"/>
              </w:rPr>
              <w:t>9</w:t>
            </w:r>
          </w:p>
        </w:tc>
        <w:tc>
          <w:tcPr>
            <w:tcW w:w="4104" w:type="dxa"/>
            <w:shd w:fill="F4F0F7"/>
          </w:tcPr>
          <w:p w14:paraId="0ED3B24E" w14:textId="3C49B9E8" w:rsidR="00183C5A" w:rsidRPr="00123105" w:rsidRDefault="00000000">
            <w:pPr>
              <w:spacing w:after="0" w:line="240" w:lineRule="auto"/>
              <w:rPr>
                <w:rFonts w:ascii="Aptos Display" w:hAnsi="Aptos Display"/>
                <w:sz w:val="20"/>
                <w:szCs w:val="20"/>
              </w:rPr>
            </w:pPr>
            <w:r w:rsidRPr="00123105">
              <w:rPr>
                <w:rFonts w:ascii="Aptos" w:hAnsi="Aptos" w:eastAsia="Aptos" w:cs="Aptos"/>
                <w:sz w:val="20"/>
                <w:szCs w:val="20"/>
              </w:rPr>
              <w:t xml:space="preserve">Visual inspection before cutting; tools used to expose ground; sharps </w:t>
            </w:r>
            <w:r w:rsidR="00123105" w:rsidRPr="00123105">
              <w:rPr>
                <w:rFonts w:ascii="Aptos" w:hAnsi="Aptos" w:eastAsia="Aptos" w:cs="Aptos"/>
                <w:sz w:val="20"/>
                <w:szCs w:val="20"/>
              </w:rPr>
              <w:t>reported,</w:t>
            </w:r>
            <w:r w:rsidRPr="00123105">
              <w:rPr>
                <w:rFonts w:ascii="Aptos" w:hAnsi="Aptos" w:eastAsia="Aptos" w:cs="Aptos"/>
                <w:sz w:val="20"/>
                <w:szCs w:val="20"/>
              </w:rPr>
              <w:t xml:space="preserve"> and specialist removal arranged; hands washed before eating; cuts cleaned and dressed.</w:t>
            </w:r>
          </w:p>
        </w:tc>
        <w:tc>
          <w:tcPr>
            <w:tcW w:w="720" w:type="dxa"/>
            <w:shd w:val="clear" w:color="auto" w:fill="F4F0F7"/>
            <w:vAlign w:val="center"/>
          </w:tcPr>
          <w:p>
            <w:pPr>
              <w:spacing w:after="0" w:line="240" w:lineRule="auto"/>
              <w:jc w:val="center"/>
            </w:pPr>
            <w:r>
              <w:rPr>
                <w:rFonts w:ascii="Aptos" w:hAnsi="Aptos" w:eastAsia="Aptos" w:cs="Aptos"/>
                <w:sz w:val="20"/>
              </w:rPr>
            </w:r>
            <w:r>
              <w:rPr>
                <w:rFonts w:ascii="Aptos" w:hAnsi="Aptos" w:eastAsia="Aptos" w:cs="Aptos"/>
                <w:b w:val="0"/>
                <w:color w:val="000000"/>
                <w:sz w:val="20"/>
              </w:rPr>
              <w:t>1</w:t>
            </w:r>
          </w:p>
        </w:tc>
        <w:tc>
          <w:tcPr>
            <w:tcW w:type="dxa" w:w="720"/>
            <w:vAlign w:val="center"/>
            <w:shd w:fill="F4F0F7"/>
          </w:tcPr>
          <w:p>
            <w:pPr>
              <w:spacing w:after="0" w:line="240" w:lineRule="auto"/>
              <w:jc w:val="center"/>
            </w:pPr>
            <w:r>
              <w:rPr>
                <w:rFonts w:ascii="Aptos" w:hAnsi="Aptos" w:eastAsia="Aptos" w:cs="Aptos"/>
                <w:sz w:val="20"/>
              </w:rPr>
            </w:r>
            <w:r>
              <w:rPr>
                <w:rFonts w:ascii="Aptos" w:hAnsi="Aptos" w:eastAsia="Aptos" w:cs="Aptos"/>
                <w:b w:val="0"/>
                <w:color w:val="000000"/>
                <w:sz w:val="20"/>
              </w:rPr>
              <w:t>3</w:t>
            </w:r>
          </w:p>
        </w:tc>
        <w:tc>
          <w:tcPr>
            <w:tcW w:type="dxa" w:w="936"/>
            <w:vAlign w:val="center"/>
            <w:shd w:fill="92D050"/>
          </w:tcPr>
          <w:p>
            <w:pPr>
              <w:spacing w:after="0" w:line="240" w:lineRule="auto"/>
              <w:jc w:val="center"/>
            </w:pPr>
            <w:r>
              <w:rPr>
                <w:rFonts w:ascii="Aptos" w:hAnsi="Aptos" w:eastAsia="Aptos" w:cs="Aptos"/>
                <w:sz w:val="20"/>
              </w:rPr>
            </w:r>
            <w:r>
              <w:rPr>
                <w:rFonts w:ascii="Aptos" w:hAnsi="Aptos" w:eastAsia="Aptos" w:cs="Aptos"/>
                <w:b/>
                <w:color w:val="000000"/>
                <w:sz w:val="20"/>
              </w:rPr>
              <w:t>3</w:t>
            </w:r>
          </w:p>
        </w:tc>
      </w:tr>
    </w:tbl>
    <w:p w14:paraId="18FFC457" w14:textId="77777777" w:rsidR="00183C5A" w:rsidRPr="00123105" w:rsidRDefault="00000000">
      <w:pPr>
        <w:pStyle w:val="Heading2"/>
        <w:rPr>
          <w:rFonts w:ascii="Aptos Display" w:hAnsi="Aptos Display"/>
          <w:color w:val="auto"/>
          <w:sz w:val="20"/>
          <w:szCs w:val="20"/>
        </w:rPr>
      </w:pPr>
      <w:r w:rsidRPr="00123105">
        <w:rPr>
          <w:rFonts w:ascii="Aptos" w:hAnsi="Aptos" w:eastAsia="Aptos" w:cs="Aptos"/>
          <w:color w:val="auto"/>
          <w:sz w:val="20"/>
          <w:szCs w:val="20"/>
        </w:rPr>
        <w:t>9. Review &amp; Monitoring</w:t>
      </w:r>
    </w:p>
    <w:p w14:paraId="271C0BFB" w14:textId="77777777" w:rsidR="00183C5A" w:rsidRPr="00123105" w:rsidRDefault="00000000">
      <w:pPr>
        <w:rPr>
          <w:rFonts w:ascii="Aptos Display" w:hAnsi="Aptos Display"/>
          <w:sz w:val="20"/>
          <w:szCs w:val="20"/>
        </w:rPr>
      </w:pPr>
      <w:r w:rsidRPr="00123105">
        <w:rPr>
          <w:rFonts w:ascii="Aptos" w:hAnsi="Aptos" w:eastAsia="Aptos" w:cs="Aptos"/>
          <w:sz w:val="20"/>
          <w:szCs w:val="20"/>
        </w:rPr>
        <w:t>This GRA must be reviewed annually, following any incident, introduction of new equipment, changes in legislation or audit recommendations.</w:t>
      </w:r>
    </w:p>
    <w:p w14:paraId="3E64D1CE" w14:textId="407FDFDE" w:rsidR="00183C5A" w:rsidRPr="00123105" w:rsidRDefault="00000000" w:rsidP="00123105">
      <w:pPr>
        <w:rPr>
          <w:rFonts w:ascii="Aptos Display" w:hAnsi="Aptos Display"/>
          <w:sz w:val="20"/>
          <w:szCs w:val="20"/>
        </w:rPr>
      </w:pPr>
      <w:r w:rsidRPr="00123105">
        <w:rPr>
          <w:rFonts w:ascii="Aptos" w:hAnsi="Aptos" w:eastAsia="Aptos" w:cs="Aptos"/>
          <w:sz w:val="20"/>
          <w:szCs w:val="20"/>
        </w:rPr>
        <w:br/>
      </w:r>
    </w:p>
    <w:sectPr w:rsidR="00183C5A" w:rsidRPr="00123105" w:rsidSect="00123105">
      <w:headerReference w:type="default" r:id="rId8"/>
      <w:footerReference w:type="default" r:id="rId9"/>
      <w:pgSz w:w="15840" w:h="12220" w:orient="landscape"/>
      <w:pgMar w:top="1800" w:right="1440" w:bottom="18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AADBB3" w14:textId="77777777" w:rsidR="00C364D5" w:rsidRDefault="00C364D5" w:rsidP="00123105">
      <w:pPr>
        <w:spacing w:after="0" w:line="240" w:lineRule="auto"/>
      </w:pPr>
      <w:r>
        <w:separator/>
      </w:r>
    </w:p>
  </w:endnote>
  <w:endnote w:type="continuationSeparator" w:id="0">
    <w:p w14:paraId="195920CC" w14:textId="77777777" w:rsidR="00C364D5" w:rsidRDefault="00C364D5" w:rsidP="00123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E56907" w14:textId="77777777" w:rsidR="00123105" w:rsidRPr="00123105" w:rsidRDefault="00123105" w:rsidP="00123105">
    <w:pPr>
      <w:spacing w:after="0"/>
      <w:rPr>
        <w:rFonts w:ascii="Aptos Display" w:hAnsi="Aptos Display"/>
        <w:color w:val="FF0000"/>
        <w:sz w:val="16"/>
        <w:szCs w:val="16"/>
      </w:rPr>
    </w:pPr>
    <w:r w:rsidRPr="00123105">
      <w:rPr>
        <w:rFonts w:ascii="Aptos" w:hAnsi="Aptos" w:eastAsia="Aptos" w:cs="Aptos"/>
        <w:color w:val="FF0000"/>
        <w:sz w:val="20"/>
        <w:szCs w:val="16"/>
      </w:rPr>
      <w:t>[COMPANY NAME] – GRA Hedge Work Operations - ARB-GRA-09</w:t>
    </w:r>
  </w:p>
  <w:p w14:paraId="52FB11FA" w14:textId="77777777" w:rsidR="00123105" w:rsidRPr="00123105" w:rsidRDefault="00123105" w:rsidP="00123105">
    <w:pPr>
      <w:spacing w:after="0"/>
      <w:rPr>
        <w:rFonts w:ascii="Aptos Display" w:hAnsi="Aptos Display"/>
        <w:color w:val="FF0000"/>
        <w:sz w:val="16"/>
        <w:szCs w:val="16"/>
      </w:rPr>
    </w:pPr>
    <w:r w:rsidRPr="00123105">
      <w:rPr>
        <w:rFonts w:ascii="Aptos" w:hAnsi="Aptos" w:eastAsia="Aptos" w:cs="Aptos"/>
        <w:color w:val="FF0000"/>
        <w:sz w:val="20"/>
        <w:szCs w:val="16"/>
      </w:rPr>
      <w:t>Version: [</w:t>
    </w:r>
    <w:proofErr w:type="gramStart"/>
    <w:r w:rsidRPr="00123105">
      <w:rPr>
        <w:rFonts w:ascii="Aptos" w:hAnsi="Aptos" w:eastAsia="Aptos" w:cs="Aptos"/>
        <w:color w:val="FF0000"/>
        <w:sz w:val="20"/>
        <w:szCs w:val="16"/>
      </w:rPr>
      <w:t xml:space="preserve">VERSION]   </w:t>
    </w:r>
    <w:proofErr w:type="gramEnd"/>
    <w:r w:rsidRPr="00123105">
      <w:rPr>
        <w:rFonts w:ascii="Aptos" w:hAnsi="Aptos" w:eastAsia="Aptos" w:cs="Aptos"/>
        <w:color w:val="FF0000"/>
        <w:sz w:val="20"/>
        <w:szCs w:val="16"/>
      </w:rPr>
      <w:t>Date Issued: [DATE]   Review Date: [REVIEW DATE]</w:t>
    </w:r>
  </w:p>
  <w:p w14:paraId="23B5CA5C" w14:textId="281CB57F" w:rsidR="00123105" w:rsidRPr="00123105" w:rsidRDefault="00123105" w:rsidP="00123105">
    <w:pPr>
      <w:spacing w:after="0"/>
      <w:rPr>
        <w:rFonts w:ascii="Aptos Display" w:hAnsi="Aptos Display"/>
        <w:color w:val="FF0000"/>
        <w:sz w:val="16"/>
        <w:szCs w:val="16"/>
      </w:rPr>
    </w:pPr>
    <w:r w:rsidRPr="00123105">
      <w:rPr>
        <w:rFonts w:ascii="Aptos" w:hAnsi="Aptos" w:eastAsia="Aptos" w:cs="Aptos"/>
        <w:color w:val="FF0000"/>
        <w:sz w:val="20"/>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9D69E4" w14:textId="77777777" w:rsidR="00C364D5" w:rsidRDefault="00C364D5" w:rsidP="00123105">
      <w:pPr>
        <w:spacing w:after="0" w:line="240" w:lineRule="auto"/>
      </w:pPr>
      <w:r>
        <w:separator/>
      </w:r>
    </w:p>
  </w:footnote>
  <w:footnote w:type="continuationSeparator" w:id="0">
    <w:p w14:paraId="3E46C37C" w14:textId="77777777" w:rsidR="00C364D5" w:rsidRDefault="00C364D5" w:rsidP="00123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88FA6" w14:textId="010851F1" w:rsidR="00123105" w:rsidRPr="00123105" w:rsidRDefault="00123105" w:rsidP="00123105">
    <w:pPr>
      <w:rPr>
        <w:rFonts w:ascii="Aptos Display" w:hAnsi="Aptos Display"/>
        <w:color w:val="FF0000"/>
        <w:sz w:val="20"/>
        <w:szCs w:val="20"/>
      </w:rPr>
    </w:pPr>
    <w:r w:rsidRPr="00123105">
      <w:rPr>
        <w:rFonts w:ascii="Aptos" w:hAnsi="Aptos" w:eastAsia="Aptos" w:cs="Aptos"/>
        <w:color w:val="FF0000"/>
        <w:sz w:val="20"/>
        <w:szCs w:val="20"/>
      </w:rPr>
      <w:t>LOGO [Insert Company Logo Here]</w:t>
    </w:r>
    <w:r w:rsidRPr="00123105">
      <w:rPr>
        <w:rFonts w:ascii="Aptos" w:hAnsi="Aptos" w:eastAsia="Aptos" w:cs="Aptos"/>
        <w:color w:val="FF0000"/>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944966">
    <w:abstractNumId w:val="8"/>
  </w:num>
  <w:num w:numId="2" w16cid:durableId="1259951314">
    <w:abstractNumId w:val="6"/>
  </w:num>
  <w:num w:numId="3" w16cid:durableId="852769347">
    <w:abstractNumId w:val="5"/>
  </w:num>
  <w:num w:numId="4" w16cid:durableId="1587806410">
    <w:abstractNumId w:val="4"/>
  </w:num>
  <w:num w:numId="5" w16cid:durableId="753547103">
    <w:abstractNumId w:val="7"/>
  </w:num>
  <w:num w:numId="6" w16cid:durableId="1161967438">
    <w:abstractNumId w:val="3"/>
  </w:num>
  <w:num w:numId="7" w16cid:durableId="1910845542">
    <w:abstractNumId w:val="2"/>
  </w:num>
  <w:num w:numId="8" w16cid:durableId="601036884">
    <w:abstractNumId w:val="1"/>
  </w:num>
  <w:num w:numId="9" w16cid:durableId="255017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3105"/>
    <w:rsid w:val="0015074B"/>
    <w:rsid w:val="00183C5A"/>
    <w:rsid w:val="0029639D"/>
    <w:rsid w:val="002B130C"/>
    <w:rsid w:val="00326F90"/>
    <w:rsid w:val="00342D28"/>
    <w:rsid w:val="005108ED"/>
    <w:rsid w:val="00AA1D8D"/>
    <w:rsid w:val="00B47730"/>
    <w:rsid w:val="00C364D5"/>
    <w:rsid w:val="00CB0664"/>
    <w:rsid w:val="00DF641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711ABF"/>
  <w14:defaultImageDpi w14:val="300"/>
  <w15:docId w15:val="{1F3A5CF6-E521-AC40-AD7B-5FA30177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Aptos" w:hAnsi="Aptos"/>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Aptos" w:hAnsi="Aptos"/>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Aptos" w:hAnsi="Aptos"/>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Aptos" w:hAnsi="Aptos"/>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Aptos" w:hAnsi="Apto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Aptos" w:hAnsi="Aptos"/>
      <w:i/>
      <w:iCs/>
      <w:color w:val="404040" w:themeColor="text1" w:themeTint="BF"/>
      <w:sz w:val="20"/>
      <w:szCs w:val="20"/>
    </w:rPr>
  </w:style>
  <w:style w:type="character" w:default="1" w:styleId="DefaultParagraphFont">
    <w:name w:val="Default Paragraph Font"/>
    <w:uiPriority w:val="1"/>
    <w:semiHidden/>
    <w:unhideWhenUsed/>
    <w:rPr>
      <w:rFonts w:ascii="Aptos" w:hAnsi="Aptos"/>
      <w:sz w:val="20"/>
    </w:rPr>
  </w:style>
  <w:style w:type="table" w:default="1" w:styleId="TableNormal">
    <w:name w:val="Normal Table"/>
    <w:uiPriority w:val="99"/>
    <w:semiHidden/>
    <w:unhideWhenUsed/>
    <w:rPr>
      <w:rFonts w:ascii="Aptos" w:hAnsi="Aptos"/>
      <w:sz w:val="2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ptos" w:hAnsi="Aptos"/>
      <w:sz w:val="20"/>
    </w:rPr>
  </w:style>
  <w:style w:type="character" w:customStyle="1" w:styleId="HeaderChar">
    <w:name w:val="Header Char"/>
    <w:basedOn w:val="DefaultParagraphFont"/>
    <w:link w:val="Header"/>
    <w:uiPriority w:val="99"/>
    <w:rsid w:val="00E618BF"/>
    <w:rPr>
      <w:rFonts w:ascii="Aptos" w:hAnsi="Aptos"/>
      <w:sz w:val="2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ptos" w:hAnsi="Aptos"/>
      <w:sz w:val="20"/>
    </w:rPr>
  </w:style>
  <w:style w:type="character" w:customStyle="1" w:styleId="FooterChar">
    <w:name w:val="Footer Char"/>
    <w:basedOn w:val="DefaultParagraphFont"/>
    <w:link w:val="Footer"/>
    <w:uiPriority w:val="99"/>
    <w:rsid w:val="00E618BF"/>
    <w:rPr>
      <w:rFonts w:ascii="Aptos" w:hAnsi="Aptos"/>
      <w:sz w:val="20"/>
    </w:rPr>
  </w:style>
  <w:style w:type="paragraph" w:styleId="NoSpacing">
    <w:name w:val="No Spacing"/>
    <w:uiPriority w:val="1"/>
    <w:qFormat/>
    <w:rsid w:val="00FC693F"/>
    <w:pPr>
      <w:spacing w:after="0" w:line="240" w:lineRule="auto"/>
    </w:pPr>
    <w:rPr>
      <w:rFonts w:ascii="Aptos" w:hAnsi="Aptos"/>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ascii="Aptos" w:hAnsi="Aptos"/>
      <w:b/>
      <w:bCs/>
      <w:color w:val="365F91" w:themeColor="accent1" w:themeShade="BF"/>
      <w:sz w:val="20"/>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ascii="Aptos" w:hAnsi="Aptos"/>
      <w:b/>
      <w:bCs/>
      <w:color w:val="4F81BD" w:themeColor="accent1"/>
      <w:sz w:val="20"/>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ascii="Aptos" w:hAnsi="Aptos"/>
      <w:b/>
      <w:bCs/>
      <w:color w:val="4F81BD" w:themeColor="accent1"/>
      <w:sz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2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ascii="Aptos" w:hAnsi="Aptos"/>
      <w:color w:val="17365D" w:themeColor="text2" w:themeShade="BF"/>
      <w:spacing w:val="5"/>
      <w:kern w:val="28"/>
      <w:sz w:val="20"/>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ascii="Aptos" w:hAnsi="Aptos"/>
      <w:i/>
      <w:iCs/>
      <w:color w:val="4F81BD" w:themeColor="accent1"/>
      <w:spacing w:val="15"/>
      <w:sz w:val="20"/>
      <w:szCs w:val="24"/>
    </w:rPr>
  </w:style>
  <w:style w:type="paragraph" w:styleId="ListParagraph">
    <w:name w:val="List Paragraph"/>
    <w:basedOn w:val="Normal"/>
    <w:uiPriority w:val="34"/>
    <w:qFormat/>
    <w:rsid w:val="00FC693F"/>
    <w:pPr>
      <w:ind w:left="720"/>
      <w:contextualSpacing/>
    </w:pPr>
    <w:rPr>
      <w:rFonts w:ascii="Aptos" w:hAnsi="Aptos"/>
      <w:sz w:val="20"/>
    </w:rPr>
  </w:style>
  <w:style w:type="paragraph" w:styleId="BodyText">
    <w:name w:val="Body Text"/>
    <w:basedOn w:val="Normal"/>
    <w:link w:val="BodyTextChar"/>
    <w:uiPriority w:val="99"/>
    <w:unhideWhenUsed/>
    <w:rsid w:val="00AA1D8D"/>
    <w:pPr>
      <w:spacing w:after="120"/>
    </w:pPr>
    <w:rPr>
      <w:rFonts w:ascii="Aptos" w:hAnsi="Aptos"/>
      <w:sz w:val="20"/>
    </w:rPr>
  </w:style>
  <w:style w:type="character" w:customStyle="1" w:styleId="BodyTextChar">
    <w:name w:val="Body Text Char"/>
    <w:basedOn w:val="DefaultParagraphFont"/>
    <w:link w:val="BodyText"/>
    <w:uiPriority w:val="99"/>
    <w:rsid w:val="00AA1D8D"/>
    <w:rPr>
      <w:rFonts w:ascii="Aptos" w:hAnsi="Aptos"/>
      <w:sz w:val="20"/>
    </w:rPr>
  </w:style>
  <w:style w:type="paragraph" w:styleId="BodyText2">
    <w:name w:val="Body Text 2"/>
    <w:basedOn w:val="Normal"/>
    <w:link w:val="BodyText2Char"/>
    <w:uiPriority w:val="99"/>
    <w:unhideWhenUsed/>
    <w:rsid w:val="00AA1D8D"/>
    <w:pPr>
      <w:spacing w:after="120" w:line="480" w:lineRule="auto"/>
    </w:pPr>
    <w:rPr>
      <w:rFonts w:ascii="Aptos" w:hAnsi="Aptos"/>
      <w:sz w:val="20"/>
    </w:rPr>
  </w:style>
  <w:style w:type="character" w:customStyle="1" w:styleId="BodyText2Char">
    <w:name w:val="Body Text 2 Char"/>
    <w:basedOn w:val="DefaultParagraphFont"/>
    <w:link w:val="BodyText2"/>
    <w:uiPriority w:val="99"/>
    <w:rsid w:val="00AA1D8D"/>
    <w:rPr>
      <w:rFonts w:ascii="Aptos" w:hAnsi="Aptos"/>
      <w:sz w:val="20"/>
    </w:rPr>
  </w:style>
  <w:style w:type="paragraph" w:styleId="BodyText3">
    <w:name w:val="Body Text 3"/>
    <w:basedOn w:val="Normal"/>
    <w:link w:val="BodyText3Char"/>
    <w:uiPriority w:val="99"/>
    <w:unhideWhenUsed/>
    <w:rsid w:val="00AA1D8D"/>
    <w:pPr>
      <w:spacing w:after="120"/>
    </w:pPr>
    <w:rPr>
      <w:rFonts w:ascii="Aptos" w:hAnsi="Aptos"/>
      <w:sz w:val="20"/>
      <w:szCs w:val="16"/>
    </w:rPr>
  </w:style>
  <w:style w:type="character" w:customStyle="1" w:styleId="BodyText3Char">
    <w:name w:val="Body Text 3 Char"/>
    <w:basedOn w:val="DefaultParagraphFont"/>
    <w:link w:val="BodyText3"/>
    <w:uiPriority w:val="99"/>
    <w:rsid w:val="00AA1D8D"/>
    <w:rPr>
      <w:rFonts w:ascii="Aptos" w:hAnsi="Aptos"/>
      <w:sz w:val="20"/>
      <w:szCs w:val="16"/>
    </w:rPr>
  </w:style>
  <w:style w:type="paragraph" w:styleId="List">
    <w:name w:val="List"/>
    <w:basedOn w:val="Normal"/>
    <w:uiPriority w:val="99"/>
    <w:unhideWhenUsed/>
    <w:rsid w:val="00AA1D8D"/>
    <w:pPr>
      <w:ind w:left="360" w:hanging="360"/>
      <w:contextualSpacing/>
    </w:pPr>
    <w:rPr>
      <w:rFonts w:ascii="Aptos" w:hAnsi="Aptos"/>
      <w:sz w:val="20"/>
    </w:rPr>
  </w:style>
  <w:style w:type="paragraph" w:styleId="List2">
    <w:name w:val="List 2"/>
    <w:basedOn w:val="Normal"/>
    <w:uiPriority w:val="99"/>
    <w:unhideWhenUsed/>
    <w:rsid w:val="00326F90"/>
    <w:pPr>
      <w:ind w:left="720" w:hanging="360"/>
      <w:contextualSpacing/>
    </w:pPr>
    <w:rPr>
      <w:rFonts w:ascii="Aptos" w:hAnsi="Aptos"/>
      <w:sz w:val="20"/>
    </w:rPr>
  </w:style>
  <w:style w:type="paragraph" w:styleId="List3">
    <w:name w:val="List 3"/>
    <w:basedOn w:val="Normal"/>
    <w:uiPriority w:val="99"/>
    <w:unhideWhenUsed/>
    <w:rsid w:val="00326F90"/>
    <w:pPr>
      <w:ind w:left="1080" w:hanging="360"/>
      <w:contextualSpacing/>
    </w:pPr>
    <w:rPr>
      <w:rFonts w:ascii="Aptos" w:hAnsi="Aptos"/>
      <w:sz w:val="20"/>
    </w:rPr>
  </w:style>
  <w:style w:type="paragraph" w:styleId="ListBullet">
    <w:name w:val="List Bullet"/>
    <w:basedOn w:val="Normal"/>
    <w:uiPriority w:val="99"/>
    <w:unhideWhenUsed/>
    <w:rsid w:val="00326F90"/>
    <w:pPr>
      <w:numPr>
        <w:numId w:val="1"/>
      </w:numPr>
      <w:contextualSpacing/>
    </w:pPr>
    <w:rPr>
      <w:rFonts w:ascii="Aptos" w:hAnsi="Aptos"/>
      <w:sz w:val="20"/>
    </w:rPr>
  </w:style>
  <w:style w:type="paragraph" w:styleId="ListBullet2">
    <w:name w:val="List Bullet 2"/>
    <w:basedOn w:val="Normal"/>
    <w:uiPriority w:val="99"/>
    <w:unhideWhenUsed/>
    <w:rsid w:val="00326F90"/>
    <w:pPr>
      <w:numPr>
        <w:numId w:val="2"/>
      </w:numPr>
      <w:contextualSpacing/>
    </w:pPr>
    <w:rPr>
      <w:rFonts w:ascii="Aptos" w:hAnsi="Aptos"/>
      <w:sz w:val="20"/>
    </w:rPr>
  </w:style>
  <w:style w:type="paragraph" w:styleId="ListBullet3">
    <w:name w:val="List Bullet 3"/>
    <w:basedOn w:val="Normal"/>
    <w:uiPriority w:val="99"/>
    <w:unhideWhenUsed/>
    <w:rsid w:val="00326F90"/>
    <w:pPr>
      <w:numPr>
        <w:numId w:val="3"/>
      </w:numPr>
      <w:contextualSpacing/>
    </w:pPr>
    <w:rPr>
      <w:rFonts w:ascii="Aptos" w:hAnsi="Aptos"/>
      <w:sz w:val="20"/>
    </w:rPr>
  </w:style>
  <w:style w:type="paragraph" w:styleId="ListNumber">
    <w:name w:val="List Number"/>
    <w:basedOn w:val="Normal"/>
    <w:uiPriority w:val="99"/>
    <w:unhideWhenUsed/>
    <w:rsid w:val="00326F90"/>
    <w:pPr>
      <w:numPr>
        <w:numId w:val="5"/>
      </w:numPr>
      <w:contextualSpacing/>
    </w:pPr>
    <w:rPr>
      <w:rFonts w:ascii="Aptos" w:hAnsi="Aptos"/>
      <w:sz w:val="20"/>
    </w:rPr>
  </w:style>
  <w:style w:type="paragraph" w:styleId="ListNumber2">
    <w:name w:val="List Number 2"/>
    <w:basedOn w:val="Normal"/>
    <w:uiPriority w:val="99"/>
    <w:unhideWhenUsed/>
    <w:rsid w:val="0029639D"/>
    <w:pPr>
      <w:numPr>
        <w:numId w:val="6"/>
      </w:numPr>
      <w:contextualSpacing/>
    </w:pPr>
    <w:rPr>
      <w:rFonts w:ascii="Aptos" w:hAnsi="Aptos"/>
      <w:sz w:val="20"/>
    </w:rPr>
  </w:style>
  <w:style w:type="paragraph" w:styleId="ListNumber3">
    <w:name w:val="List Number 3"/>
    <w:basedOn w:val="Normal"/>
    <w:uiPriority w:val="99"/>
    <w:unhideWhenUsed/>
    <w:rsid w:val="0029639D"/>
    <w:pPr>
      <w:numPr>
        <w:numId w:val="7"/>
      </w:numPr>
      <w:contextualSpacing/>
    </w:pPr>
    <w:rPr>
      <w:rFonts w:ascii="Aptos" w:hAnsi="Aptos"/>
      <w:sz w:val="20"/>
    </w:rPr>
  </w:style>
  <w:style w:type="paragraph" w:styleId="ListContinue">
    <w:name w:val="List Continue"/>
    <w:basedOn w:val="Normal"/>
    <w:uiPriority w:val="99"/>
    <w:unhideWhenUsed/>
    <w:rsid w:val="0029639D"/>
    <w:pPr>
      <w:spacing w:after="120"/>
      <w:ind w:left="360"/>
      <w:contextualSpacing/>
    </w:pPr>
    <w:rPr>
      <w:rFonts w:ascii="Aptos" w:hAnsi="Aptos"/>
      <w:sz w:val="20"/>
    </w:rPr>
  </w:style>
  <w:style w:type="paragraph" w:styleId="ListContinue2">
    <w:name w:val="List Continue 2"/>
    <w:basedOn w:val="Normal"/>
    <w:uiPriority w:val="99"/>
    <w:unhideWhenUsed/>
    <w:rsid w:val="0029639D"/>
    <w:pPr>
      <w:spacing w:after="120"/>
      <w:ind w:left="720"/>
      <w:contextualSpacing/>
    </w:pPr>
    <w:rPr>
      <w:rFonts w:ascii="Aptos" w:hAnsi="Aptos"/>
      <w:sz w:val="20"/>
    </w:rPr>
  </w:style>
  <w:style w:type="paragraph" w:styleId="ListContinue3">
    <w:name w:val="List Continue 3"/>
    <w:basedOn w:val="Normal"/>
    <w:uiPriority w:val="99"/>
    <w:unhideWhenUsed/>
    <w:rsid w:val="0029639D"/>
    <w:pPr>
      <w:spacing w:after="120"/>
      <w:ind w:left="1080"/>
      <w:contextualSpacing/>
    </w:pPr>
    <w:rPr>
      <w:rFonts w:ascii="Aptos" w:hAnsi="Aptos"/>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ptos" w:hAnsi="Aptos"/>
      <w:sz w:val="20"/>
      <w:szCs w:val="20"/>
    </w:rPr>
  </w:style>
  <w:style w:type="character" w:customStyle="1" w:styleId="MacroTextChar">
    <w:name w:val="Macro Text Char"/>
    <w:basedOn w:val="DefaultParagraphFont"/>
    <w:link w:val="MacroText"/>
    <w:uiPriority w:val="99"/>
    <w:rsid w:val="0029639D"/>
    <w:rPr>
      <w:rFonts w:ascii="Aptos" w:hAnsi="Aptos"/>
      <w:sz w:val="20"/>
      <w:szCs w:val="20"/>
    </w:rPr>
  </w:style>
  <w:style w:type="paragraph" w:styleId="Quote">
    <w:name w:val="Quote"/>
    <w:basedOn w:val="Normal"/>
    <w:next w:val="Normal"/>
    <w:link w:val="QuoteChar"/>
    <w:uiPriority w:val="29"/>
    <w:qFormat/>
    <w:rsid w:val="00FC693F"/>
    <w:rPr>
      <w:rFonts w:ascii="Aptos" w:hAnsi="Aptos"/>
      <w:i/>
      <w:iCs/>
      <w:color w:val="000000" w:themeColor="text1"/>
      <w:sz w:val="20"/>
    </w:rPr>
  </w:style>
  <w:style w:type="character" w:customStyle="1" w:styleId="QuoteChar">
    <w:name w:val="Quote Char"/>
    <w:basedOn w:val="DefaultParagraphFont"/>
    <w:link w:val="Quote"/>
    <w:uiPriority w:val="29"/>
    <w:rsid w:val="00FC693F"/>
    <w:rPr>
      <w:rFonts w:ascii="Aptos" w:hAnsi="Aptos"/>
      <w:i/>
      <w:iCs/>
      <w:color w:val="000000" w:themeColor="text1"/>
      <w:sz w:val="2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ascii="Aptos" w:hAnsi="Aptos"/>
      <w:b/>
      <w:bCs/>
      <w:i/>
      <w:iCs/>
      <w:color w:val="4F81BD" w:themeColor="accent1"/>
      <w:sz w:val="2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ascii="Aptos" w:hAnsi="Aptos"/>
      <w:color w:val="243F60" w:themeColor="accent1" w:themeShade="7F"/>
      <w:sz w:val="2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ascii="Aptos" w:hAnsi="Aptos"/>
      <w:i/>
      <w:iCs/>
      <w:color w:val="243F60" w:themeColor="accent1" w:themeShade="7F"/>
      <w:sz w:val="2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ascii="Aptos" w:hAnsi="Aptos"/>
      <w:i/>
      <w:iCs/>
      <w:color w:val="404040" w:themeColor="text1" w:themeTint="BF"/>
      <w:sz w:val="2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ascii="Aptos" w:hAnsi="Aptos"/>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ascii="Aptos" w:hAnsi="Apto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ptos" w:hAnsi="Aptos"/>
      <w:b/>
      <w:bCs/>
      <w:color w:val="4F81BD" w:themeColor="accent1"/>
      <w:sz w:val="20"/>
      <w:szCs w:val="18"/>
    </w:rPr>
  </w:style>
  <w:style w:type="character" w:styleId="Strong">
    <w:name w:val="Strong"/>
    <w:basedOn w:val="DefaultParagraphFont"/>
    <w:uiPriority w:val="22"/>
    <w:qFormat/>
    <w:rsid w:val="00FC693F"/>
    <w:rPr>
      <w:rFonts w:ascii="Aptos" w:hAnsi="Aptos"/>
      <w:b/>
      <w:bCs/>
      <w:sz w:val="20"/>
    </w:rPr>
  </w:style>
  <w:style w:type="character" w:styleId="Emphasis">
    <w:name w:val="Emphasis"/>
    <w:basedOn w:val="DefaultParagraphFont"/>
    <w:uiPriority w:val="20"/>
    <w:qFormat/>
    <w:rsid w:val="00FC693F"/>
    <w:rPr>
      <w:rFonts w:ascii="Aptos" w:hAnsi="Aptos"/>
      <w:i/>
      <w:iCs/>
      <w:sz w:val="2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ptos" w:hAnsi="Aptos"/>
      <w:b/>
      <w:bCs/>
      <w:i/>
      <w:iCs/>
      <w:color w:val="4F81BD" w:themeColor="accent1"/>
      <w:sz w:val="20"/>
    </w:rPr>
  </w:style>
  <w:style w:type="character" w:customStyle="1" w:styleId="IntenseQuoteChar">
    <w:name w:val="Intense Quote Char"/>
    <w:basedOn w:val="DefaultParagraphFont"/>
    <w:link w:val="IntenseQuote"/>
    <w:uiPriority w:val="30"/>
    <w:rsid w:val="00FC693F"/>
    <w:rPr>
      <w:rFonts w:ascii="Aptos" w:hAnsi="Aptos"/>
      <w:b/>
      <w:bCs/>
      <w:i/>
      <w:iCs/>
      <w:color w:val="4F81BD" w:themeColor="accent1"/>
      <w:sz w:val="20"/>
    </w:rPr>
  </w:style>
  <w:style w:type="character" w:styleId="SubtleEmphasis">
    <w:name w:val="Subtle Emphasis"/>
    <w:basedOn w:val="DefaultParagraphFont"/>
    <w:uiPriority w:val="19"/>
    <w:qFormat/>
    <w:rsid w:val="00FC693F"/>
    <w:rPr>
      <w:rFonts w:ascii="Aptos" w:hAnsi="Aptos"/>
      <w:i/>
      <w:iCs/>
      <w:color w:val="808080" w:themeColor="text1" w:themeTint="7F"/>
      <w:sz w:val="20"/>
    </w:rPr>
  </w:style>
  <w:style w:type="character" w:styleId="IntenseEmphasis">
    <w:name w:val="Intense Emphasis"/>
    <w:basedOn w:val="DefaultParagraphFont"/>
    <w:uiPriority w:val="21"/>
    <w:qFormat/>
    <w:rsid w:val="00FC693F"/>
    <w:rPr>
      <w:rFonts w:ascii="Aptos" w:hAnsi="Aptos"/>
      <w:b/>
      <w:bCs/>
      <w:i/>
      <w:iCs/>
      <w:color w:val="4F81BD" w:themeColor="accent1"/>
      <w:sz w:val="20"/>
    </w:rPr>
  </w:style>
  <w:style w:type="character" w:styleId="SubtleReference">
    <w:name w:val="Subtle Reference"/>
    <w:basedOn w:val="DefaultParagraphFont"/>
    <w:uiPriority w:val="31"/>
    <w:qFormat/>
    <w:rsid w:val="00FC693F"/>
    <w:rPr>
      <w:rFonts w:ascii="Aptos" w:hAnsi="Aptos"/>
      <w:smallCaps/>
      <w:color w:val="C0504D" w:themeColor="accent2"/>
      <w:sz w:val="20"/>
      <w:u w:val="single"/>
    </w:rPr>
  </w:style>
  <w:style w:type="character" w:styleId="IntenseReference">
    <w:name w:val="Intense Reference"/>
    <w:basedOn w:val="DefaultParagraphFont"/>
    <w:uiPriority w:val="32"/>
    <w:qFormat/>
    <w:rsid w:val="00FC693F"/>
    <w:rPr>
      <w:rFonts w:ascii="Aptos" w:hAnsi="Aptos"/>
      <w:b/>
      <w:bCs/>
      <w:smallCaps/>
      <w:color w:val="C0504D" w:themeColor="accent2"/>
      <w:spacing w:val="5"/>
      <w:sz w:val="20"/>
      <w:u w:val="single"/>
    </w:rPr>
  </w:style>
  <w:style w:type="character" w:styleId="BookTitle">
    <w:name w:val="Book Title"/>
    <w:basedOn w:val="DefaultParagraphFont"/>
    <w:uiPriority w:val="33"/>
    <w:qFormat/>
    <w:rsid w:val="00FC693F"/>
    <w:rPr>
      <w:rFonts w:ascii="Aptos" w:hAnsi="Aptos"/>
      <w:b/>
      <w:bCs/>
      <w:smallCaps/>
      <w:spacing w:val="5"/>
      <w:sz w:val="20"/>
    </w:rPr>
  </w:style>
  <w:style w:type="paragraph" w:styleId="TOCHeading">
    <w:name w:val="TOC Heading"/>
    <w:basedOn w:val="Heading1"/>
    <w:next w:val="Normal"/>
    <w:uiPriority w:val="39"/>
    <w:semiHidden/>
    <w:unhideWhenUsed/>
    <w:qFormat/>
    <w:rsid w:val="00FC693F"/>
    <w:pPr>
      <w:outlineLvl w:val="9"/>
    </w:pPr>
    <w:rPr>
      <w:rFonts w:ascii="Aptos" w:hAnsi="Aptos"/>
      <w:sz w:val="20"/>
    </w:rPr>
  </w:style>
  <w:style w:type="table" w:styleId="TableGrid">
    <w:name w:val="Table Grid"/>
    <w:basedOn w:val="TableNormal"/>
    <w:uiPriority w:val="59"/>
    <w:rsid w:val="00FC693F"/>
    <w:pPr>
      <w:spacing w:after="0" w:line="240" w:lineRule="auto"/>
    </w:pPr>
    <w:rPr>
      <w:rFonts w:ascii="Aptos" w:hAnsi="Aptos"/>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ptos" w:hAnsi="Aptos"/>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ptos" w:hAnsi="Aptos"/>
      <w:color w:val="365F91" w:themeColor="accent1" w:themeShade="BF"/>
      <w:sz w:val="20"/>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ptos" w:hAnsi="Aptos"/>
      <w:color w:val="943634" w:themeColor="accent2" w:themeShade="BF"/>
      <w:sz w:val="20"/>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ptos" w:hAnsi="Aptos"/>
      <w:color w:val="76923C" w:themeColor="accent3" w:themeShade="BF"/>
      <w:sz w:val="20"/>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ptos" w:hAnsi="Aptos"/>
      <w:color w:val="5F497A" w:themeColor="accent4" w:themeShade="BF"/>
      <w:sz w:val="20"/>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ptos" w:hAnsi="Aptos"/>
      <w:color w:val="31849B" w:themeColor="accent5" w:themeShade="BF"/>
      <w:sz w:val="20"/>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ptos" w:hAnsi="Aptos"/>
      <w:color w:val="E36C0A" w:themeColor="accent6" w:themeShade="BF"/>
      <w:sz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ptos" w:hAnsi="Aptos"/>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ptos" w:hAnsi="Aptos"/>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ptos" w:hAnsi="Aptos"/>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ptos" w:hAnsi="Aptos"/>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ptos" w:hAnsi="Aptos"/>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ptos" w:hAnsi="Aptos"/>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ptos" w:hAnsi="Aptos"/>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ptos" w:hAnsi="Aptos"/>
      <w:sz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ptos" w:hAnsi="Aptos"/>
      <w:color w:val="000000" w:themeColor="text1"/>
      <w:sz w:val="20"/>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ptos" w:hAnsi="Aptos"/>
      <w:sz w:val="20"/>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ptos" w:hAnsi="Aptos"/>
      <w:sz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ptos" w:hAnsi="Aptos"/>
      <w:sz w:val="20"/>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ptos" w:hAnsi="Aptos"/>
      <w:sz w:val="20"/>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ptos" w:hAnsi="Aptos"/>
      <w:sz w:val="20"/>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ptos" w:hAnsi="Aptos"/>
      <w:sz w:val="20"/>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ptos" w:hAnsi="Aptos"/>
      <w:sz w:val="20"/>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ascii="Aptos" w:hAnsi="Aptos"/>
      <w:color w:val="000000" w:themeColor="text1"/>
      <w:sz w:val="20"/>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ptos" w:hAnsi="Aptos"/>
      <w:sz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ptos" w:hAnsi="Aptos"/>
      <w:color w:val="FFFFFF" w:themeColor="background1"/>
      <w:sz w:val="20"/>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rFonts w:ascii="Aptos" w:hAnsi="Aptos"/>
      <w:color w:val="000000" w:themeColor="text1"/>
      <w:sz w:val="20"/>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rFonts w:ascii="Aptos" w:hAnsi="Aptos"/>
      <w:color w:val="000000" w:themeColor="text1"/>
      <w:sz w:val="20"/>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rFonts w:ascii="Aptos" w:hAnsi="Aptos"/>
      <w:color w:val="000000" w:themeColor="text1"/>
      <w:sz w:val="20"/>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807</Words>
  <Characters>4606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Arborella Consultancy Ltd</cp:lastModifiedBy>
  <cp:revision>2</cp:revision>
  <dcterms:created xsi:type="dcterms:W3CDTF">2026-02-14T13:46:00Z</dcterms:created>
  <dcterms:modified xsi:type="dcterms:W3CDTF">2026-02-14T13:46:00Z</dcterms:modified>
  <cp:category/>
</cp:coreProperties>
</file>