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4E7B9B" w14:textId="77777777" w:rsidR="00933F88" w:rsidRPr="00933F88" w:rsidRDefault="00000000" w:rsidP="00933F88">
      <w:pPr>
        <w:spacing w:after="0"/>
        <w:jc w:val="center"/>
        <w:rPr>
          <w:rFonts w:ascii="Aptos Display" w:hAnsi="Aptos Display"/>
          <w:b/>
          <w:bCs/>
          <w:color w:val="FF0000"/>
          <w:sz w:val="20"/>
          <w:szCs w:val="20"/>
          <w:u w:val="single"/>
        </w:rPr>
      </w:pPr>
      <w:r w:rsidRPr="00933F88">
        <w:rPr>
          <w:rFonts w:ascii="Aptos" w:hAnsi="Aptos" w:eastAsia="Aptos" w:cs="Aptos"/>
          <w:b/>
          <w:bCs/>
          <w:color w:val="FF0000"/>
          <w:sz w:val="20"/>
          <w:szCs w:val="20"/>
          <w:u w:val="single"/>
        </w:rPr>
        <w:t>COMPANY</w:t>
      </w:r>
    </w:p>
    <w:p w14:paraId="0C61CF52" w14:textId="52020389" w:rsidR="00681A72" w:rsidRPr="00933F88" w:rsidRDefault="00000000" w:rsidP="00933F88">
      <w:pPr>
        <w:spacing w:after="0"/>
        <w:jc w:val="center"/>
        <w:rPr>
          <w:rFonts w:ascii="Aptos Display" w:hAnsi="Aptos Display"/>
          <w:sz w:val="20"/>
          <w:szCs w:val="20"/>
          <w:u w:val="single"/>
        </w:rPr>
      </w:pPr>
      <w:r w:rsidRPr="00933F88">
        <w:rPr>
          <w:rFonts w:ascii="Aptos" w:hAnsi="Aptos" w:eastAsia="Aptos" w:cs="Aptos"/>
          <w:sz w:val="20"/>
          <w:szCs w:val="20"/>
          <w:u w:val="single"/>
        </w:rPr>
        <w:t>GENERIC RISK ASSESSMENT (GRA) – MULCHING OPERATIONS</w:t>
      </w:r>
      <w:r w:rsidRPr="00933F88">
        <w:rPr>
          <w:rFonts w:ascii="Aptos" w:hAnsi="Aptos" w:eastAsia="Aptos" w:cs="Aptos"/>
          <w:sz w:val="20"/>
          <w:szCs w:val="20"/>
          <w:u w:val="single"/>
        </w:rPr>
        <w:br/>
      </w:r>
    </w:p>
    <w:p w14:paraId="1F5B3849" w14:textId="77777777" w:rsidR="00681A72" w:rsidRPr="00933F88" w:rsidRDefault="00000000">
      <w:pPr>
        <w:rPr>
          <w:rFonts w:ascii="Aptos Display" w:hAnsi="Aptos Display"/>
          <w:sz w:val="20"/>
          <w:szCs w:val="20"/>
        </w:rPr>
      </w:pPr>
      <w:r w:rsidRPr="00933F88">
        <w:rPr>
          <w:rFonts w:ascii="Aptos" w:hAnsi="Aptos" w:eastAsia="Aptos" w:cs="Aptos"/>
          <w:sz w:val="20"/>
          <w:szCs w:val="20"/>
        </w:rPr>
        <w:t>Activity / Task: Operation of tractor-mounted, tracked and dedicated mulching machinery including associated transport, refuelling and maintenance</w:t>
      </w:r>
    </w:p>
    <w:p w14:paraId="098B048A" w14:textId="77777777" w:rsidR="00681A72" w:rsidRPr="00933F88" w:rsidRDefault="00000000">
      <w:pPr>
        <w:rPr>
          <w:rFonts w:ascii="Aptos Display" w:hAnsi="Aptos Display"/>
          <w:sz w:val="20"/>
          <w:szCs w:val="20"/>
        </w:rPr>
      </w:pPr>
      <w:r w:rsidRPr="00933F88">
        <w:rPr>
          <w:rFonts w:ascii="Aptos" w:hAnsi="Aptos" w:eastAsia="Aptos" w:cs="Aptos"/>
          <w:sz w:val="20"/>
          <w:szCs w:val="20"/>
        </w:rPr>
        <w:t>Document Ref: ARB-GRA-14</w:t>
      </w:r>
    </w:p>
    <w:p w14:paraId="3539E891" w14:textId="77777777" w:rsidR="00681A72" w:rsidRPr="00933F88" w:rsidRDefault="00000000">
      <w:pPr>
        <w:rPr>
          <w:rFonts w:ascii="Aptos Display" w:hAnsi="Aptos Display"/>
          <w:sz w:val="20"/>
          <w:szCs w:val="20"/>
        </w:rPr>
      </w:pPr>
      <w:r w:rsidRPr="00933F88">
        <w:rPr>
          <w:rFonts w:ascii="Aptos" w:hAnsi="Aptos" w:eastAsia="Aptos" w:cs="Aptos"/>
          <w:sz w:val="20"/>
          <w:szCs w:val="20"/>
        </w:rPr>
        <w:t>Version: ____    Date Issued: ____    Review Date: ____</w:t>
      </w:r>
    </w:p>
    <w:p w14:paraId="099BD2A1" w14:textId="77777777" w:rsidR="00681A72" w:rsidRPr="00933F88" w:rsidRDefault="00000000">
      <w:pPr>
        <w:rPr>
          <w:rFonts w:ascii="Aptos Display" w:hAnsi="Aptos Display"/>
          <w:sz w:val="20"/>
          <w:szCs w:val="20"/>
        </w:rPr>
      </w:pPr>
      <w:r w:rsidRPr="00933F88">
        <w:rPr>
          <w:rFonts w:ascii="Aptos" w:hAnsi="Aptos" w:eastAsia="Aptos" w:cs="Aptos"/>
          <w:sz w:val="20"/>
          <w:szCs w:val="20"/>
        </w:rPr>
        <w:t>Assessed by: ______________________________</w:t>
      </w:r>
      <w:r w:rsidRPr="00933F88">
        <w:rPr>
          <w:rFonts w:ascii="Aptos" w:hAnsi="Aptos" w:eastAsia="Aptos" w:cs="Aptos"/>
          <w:sz w:val="20"/>
          <w:szCs w:val="20"/>
        </w:rPr>
        <w:br/>
      </w:r>
    </w:p>
    <w:p w14:paraId="39EC16B2" w14:textId="77777777" w:rsidR="00681A72" w:rsidRPr="00933F88" w:rsidRDefault="00000000">
      <w:pPr>
        <w:pStyle w:val="Heading2"/>
        <w:rPr>
          <w:rFonts w:ascii="Aptos Display" w:hAnsi="Aptos Display"/>
          <w:color w:val="auto"/>
          <w:sz w:val="20"/>
          <w:szCs w:val="20"/>
        </w:rPr>
      </w:pPr>
      <w:r w:rsidRPr="00933F88">
        <w:rPr>
          <w:rFonts w:ascii="Aptos" w:hAnsi="Aptos" w:eastAsia="Aptos" w:cs="Aptos"/>
          <w:color w:val="auto"/>
          <w:sz w:val="20"/>
          <w:szCs w:val="20"/>
        </w:rPr>
        <w:t>1. Scope of Risk Assessment</w:t>
      </w:r>
    </w:p>
    <w:p w14:paraId="312F8AF3" w14:textId="77777777" w:rsidR="00681A72" w:rsidRPr="00933F88" w:rsidRDefault="00000000">
      <w:pPr>
        <w:rPr>
          <w:rFonts w:ascii="Aptos Display" w:hAnsi="Aptos Display"/>
          <w:sz w:val="20"/>
          <w:szCs w:val="20"/>
        </w:rPr>
      </w:pPr>
      <w:r w:rsidRPr="00933F88">
        <w:rPr>
          <w:rFonts w:ascii="Aptos" w:hAnsi="Aptos" w:eastAsia="Aptos" w:cs="Aptos"/>
          <w:sz w:val="20"/>
          <w:szCs w:val="20"/>
        </w:rPr>
        <w:t>This Generic Risk Assessment (GRA) covers all foreseeable hazards associated with mulching operations, including tractor-mounted flails, tracked mulchers, PTO-driven heads and dedicated forestry mulching machinery. This includes setup, operation, refuelling, maintenance, transport and environmental considerations. This document must be read alongside a Site-Specific Risk Assessment (SSRA).</w:t>
      </w:r>
    </w:p>
    <w:p w14:paraId="07F24F6B" w14:textId="77777777" w:rsidR="00681A72" w:rsidRPr="00933F88" w:rsidRDefault="00000000">
      <w:pPr>
        <w:pStyle w:val="Heading2"/>
        <w:rPr>
          <w:rFonts w:ascii="Aptos Display" w:hAnsi="Aptos Display"/>
          <w:color w:val="auto"/>
          <w:sz w:val="20"/>
          <w:szCs w:val="20"/>
        </w:rPr>
      </w:pPr>
      <w:r w:rsidRPr="00933F88">
        <w:rPr>
          <w:rFonts w:ascii="Aptos" w:hAnsi="Aptos" w:eastAsia="Aptos" w:cs="Aptos"/>
          <w:color w:val="auto"/>
          <w:sz w:val="20"/>
          <w:szCs w:val="20"/>
        </w:rPr>
        <w:t>2. Responsibilities</w:t>
      </w:r>
    </w:p>
    <w:p w14:paraId="75DD65C1" w14:textId="77777777" w:rsidR="00681A72" w:rsidRPr="00933F88" w:rsidRDefault="00000000">
      <w:pPr>
        <w:rPr>
          <w:rFonts w:ascii="Aptos Display" w:hAnsi="Aptos Display"/>
          <w:sz w:val="20"/>
          <w:szCs w:val="20"/>
        </w:rPr>
      </w:pPr>
      <w:r w:rsidRPr="00933F88">
        <w:rPr>
          <w:rFonts w:ascii="Aptos" w:hAnsi="Aptos" w:eastAsia="Aptos" w:cs="Aptos"/>
          <w:sz w:val="20"/>
          <w:szCs w:val="20"/>
        </w:rPr>
        <w:t>Management must ensure operators are trained and competent (LANTRA, NPORS, CPCS or equivalent where applicable), equipment is maintained in accordance with PUWER 1998, and lifting components are subject to LOLER where applicable. Maintenance and inspection records must be retained.</w:t>
      </w:r>
    </w:p>
    <w:p w14:paraId="49958B8F" w14:textId="77777777" w:rsidR="00681A72" w:rsidRPr="00933F88" w:rsidRDefault="00000000">
      <w:pPr>
        <w:rPr>
          <w:rFonts w:ascii="Aptos Display" w:hAnsi="Aptos Display"/>
          <w:sz w:val="20"/>
          <w:szCs w:val="20"/>
        </w:rPr>
      </w:pPr>
      <w:r w:rsidRPr="00933F88">
        <w:rPr>
          <w:rFonts w:ascii="Aptos" w:hAnsi="Aptos" w:eastAsia="Aptos" w:cs="Aptos"/>
          <w:sz w:val="20"/>
          <w:szCs w:val="20"/>
        </w:rPr>
        <w:t>Team Leaders must complete and brief the SSRA, establish exclusion zones and monitor site conditions including ground stability and public interface.</w:t>
      </w:r>
    </w:p>
    <w:p w14:paraId="0917BCC0" w14:textId="5006CF4B" w:rsidR="00681A72" w:rsidRPr="00732F14" w:rsidRDefault="00000000">
      <w:pPr>
        <w:rPr>
          <w:rFonts w:ascii="Aptos Display" w:hAnsi="Aptos Display"/>
          <w:sz w:val="20"/>
          <w:szCs w:val="20"/>
        </w:rPr>
      </w:pPr>
      <w:r w:rsidRPr="00933F88">
        <w:rPr>
          <w:rFonts w:ascii="Aptos" w:hAnsi="Aptos" w:eastAsia="Aptos" w:cs="Aptos"/>
          <w:sz w:val="20"/>
          <w:szCs w:val="20"/>
        </w:rPr>
        <w:t>Operators must complete documented pre-start inspections, operate machinery in accordance with manufacturer guidance, and stop work where unsafe conditions arise</w:t>
      </w:r>
      <w:r w:rsidRPr="00732F14">
        <w:rPr>
          <w:rFonts w:ascii="Aptos" w:hAnsi="Aptos" w:eastAsia="Aptos" w:cs="Aptos"/>
          <w:sz w:val="20"/>
          <w:szCs w:val="20"/>
        </w:rPr>
        <w:t>.</w:t>
      </w:r>
      <w:r w:rsidR="00732F14" w:rsidRPr="00732F14">
        <w:rPr>
          <w:rFonts w:ascii="Aptos" w:hAnsi="Aptos" w:eastAsia="Aptos" w:cs="Aptos"/>
          <w:sz w:val="20"/>
          <w:szCs w:val="20"/>
        </w:rPr>
        <w:t xml:space="preserve"> </w:t>
      </w:r>
      <w:r w:rsidR="00732F14" w:rsidRPr="00732F14">
        <w:rPr>
          <w:rFonts w:ascii="Aptos" w:hAnsi="Aptos" w:eastAsia="Aptos" w:cs="Aptos"/>
          <w:sz w:val="20"/>
          <w:szCs w:val="20"/>
        </w:rPr>
        <w:t>Operators must receive site-specific briefing on exclusion zone distances relative to machine type and head configuration prior to commencement of works.</w:t>
      </w:r>
    </w:p>
    <w:p w14:paraId="6EB0D662" w14:textId="77777777" w:rsidR="00681A72" w:rsidRPr="00933F88" w:rsidRDefault="00000000">
      <w:pPr>
        <w:pStyle w:val="Heading2"/>
        <w:rPr>
          <w:rFonts w:ascii="Aptos Display" w:hAnsi="Aptos Display"/>
          <w:color w:val="auto"/>
          <w:sz w:val="20"/>
          <w:szCs w:val="20"/>
        </w:rPr>
      </w:pPr>
      <w:r w:rsidRPr="00933F88">
        <w:rPr>
          <w:rFonts w:ascii="Aptos" w:hAnsi="Aptos" w:eastAsia="Aptos" w:cs="Aptos"/>
          <w:color w:val="auto"/>
          <w:sz w:val="20"/>
          <w:szCs w:val="20"/>
        </w:rPr>
        <w:t>3. Persons at Risk</w:t>
      </w:r>
    </w:p>
    <w:p w14:paraId="111D5621" w14:textId="77777777" w:rsidR="00681A72" w:rsidRPr="00933F88" w:rsidRDefault="00000000">
      <w:pPr>
        <w:rPr>
          <w:rFonts w:ascii="Aptos Display" w:hAnsi="Aptos Display"/>
          <w:sz w:val="20"/>
          <w:szCs w:val="20"/>
        </w:rPr>
      </w:pPr>
      <w:r w:rsidRPr="00933F88">
        <w:rPr>
          <w:rFonts w:ascii="Aptos" w:hAnsi="Aptos" w:cs="Aptos" w:eastAsia="Aptos"/>
          <w:sz w:val="20"/>
          <w:szCs w:val="20"/>
        </w:rPr>
        <w:t>☒</w:t>
      </w:r>
      <w:r w:rsidRPr="00933F88">
        <w:rPr>
          <w:rFonts w:ascii="Aptos" w:hAnsi="Aptos" w:eastAsia="Aptos" w:cs="Aptos"/>
          <w:sz w:val="20"/>
          <w:szCs w:val="20"/>
        </w:rPr>
        <w:t xml:space="preserve"> Employees    </w:t>
      </w:r>
      <w:r w:rsidRPr="00933F88">
        <w:rPr>
          <w:rFonts w:ascii="Aptos" w:hAnsi="Aptos" w:cs="Aptos" w:eastAsia="Aptos"/>
          <w:sz w:val="20"/>
          <w:szCs w:val="20"/>
        </w:rPr>
        <w:t>☒</w:t>
      </w:r>
      <w:r w:rsidRPr="00933F88">
        <w:rPr>
          <w:rFonts w:ascii="Aptos" w:hAnsi="Aptos" w:eastAsia="Aptos" w:cs="Aptos"/>
          <w:sz w:val="20"/>
          <w:szCs w:val="20"/>
        </w:rPr>
        <w:t xml:space="preserve"> Contractors    </w:t>
      </w:r>
      <w:r w:rsidRPr="00933F88">
        <w:rPr>
          <w:rFonts w:ascii="Aptos" w:hAnsi="Aptos" w:cs="Aptos" w:eastAsia="Aptos"/>
          <w:sz w:val="20"/>
          <w:szCs w:val="20"/>
        </w:rPr>
        <w:t>☒</w:t>
      </w:r>
      <w:r w:rsidRPr="00933F88">
        <w:rPr>
          <w:rFonts w:ascii="Aptos" w:hAnsi="Aptos" w:eastAsia="Aptos" w:cs="Aptos"/>
          <w:sz w:val="20"/>
          <w:szCs w:val="20"/>
        </w:rPr>
        <w:t xml:space="preserve"> Members of the Public    </w:t>
      </w:r>
      <w:r w:rsidRPr="00933F88">
        <w:rPr>
          <w:rFonts w:ascii="Aptos" w:hAnsi="Aptos" w:cs="Aptos" w:eastAsia="Aptos"/>
          <w:sz w:val="20"/>
          <w:szCs w:val="20"/>
        </w:rPr>
        <w:t>☒</w:t>
      </w:r>
      <w:r w:rsidRPr="00933F88">
        <w:rPr>
          <w:rFonts w:ascii="Aptos" w:hAnsi="Aptos" w:eastAsia="Aptos" w:cs="Aptos"/>
          <w:sz w:val="20"/>
          <w:szCs w:val="20"/>
        </w:rPr>
        <w:t xml:space="preserve"> Clients    </w:t>
      </w:r>
      <w:r w:rsidRPr="00933F88">
        <w:rPr>
          <w:rFonts w:ascii="Aptos" w:hAnsi="Aptos" w:cs="Aptos" w:eastAsia="Aptos"/>
          <w:sz w:val="20"/>
          <w:szCs w:val="20"/>
        </w:rPr>
        <w:t>☒</w:t>
      </w:r>
      <w:r w:rsidRPr="00933F88">
        <w:rPr>
          <w:rFonts w:ascii="Aptos" w:hAnsi="Aptos" w:eastAsia="Aptos" w:cs="Aptos"/>
          <w:sz w:val="20"/>
          <w:szCs w:val="20"/>
        </w:rPr>
        <w:t xml:space="preserve"> </w:t>
      </w:r>
      <w:proofErr w:type="gramStart"/>
      <w:r w:rsidRPr="00933F88">
        <w:rPr>
          <w:rFonts w:ascii="Aptos" w:hAnsi="Aptos" w:eastAsia="Aptos" w:cs="Aptos"/>
          <w:sz w:val="20"/>
          <w:szCs w:val="20"/>
        </w:rPr>
        <w:t>Other road</w:t>
      </w:r>
      <w:proofErr w:type="gramEnd"/>
      <w:r w:rsidRPr="00933F88">
        <w:rPr>
          <w:rFonts w:ascii="Aptos" w:hAnsi="Aptos" w:eastAsia="Aptos" w:cs="Aptos"/>
          <w:sz w:val="20"/>
          <w:szCs w:val="20"/>
        </w:rPr>
        <w:t xml:space="preserve"> users    </w:t>
      </w:r>
      <w:r w:rsidRPr="00933F88">
        <w:rPr>
          <w:rFonts w:ascii="Aptos" w:hAnsi="Aptos" w:cs="Aptos" w:eastAsia="Aptos"/>
          <w:sz w:val="20"/>
          <w:szCs w:val="20"/>
        </w:rPr>
        <w:t>☒</w:t>
      </w:r>
      <w:r w:rsidRPr="00933F88">
        <w:rPr>
          <w:rFonts w:ascii="Aptos" w:hAnsi="Aptos" w:eastAsia="Aptos" w:cs="Aptos"/>
          <w:sz w:val="20"/>
          <w:szCs w:val="20"/>
        </w:rPr>
        <w:t xml:space="preserve"> Environment</w:t>
      </w:r>
    </w:p>
    <w:p w14:paraId="2D7DF273" w14:textId="77777777" w:rsidR="00681A72" w:rsidRPr="00933F88" w:rsidRDefault="00000000">
      <w:pPr>
        <w:pStyle w:val="Heading2"/>
        <w:rPr>
          <w:rFonts w:ascii="Aptos Display" w:hAnsi="Aptos Display"/>
          <w:color w:val="auto"/>
          <w:sz w:val="20"/>
          <w:szCs w:val="20"/>
        </w:rPr>
      </w:pPr>
      <w:r w:rsidRPr="00933F88">
        <w:rPr>
          <w:rFonts w:ascii="Aptos" w:hAnsi="Aptos" w:eastAsia="Aptos" w:cs="Aptos"/>
          <w:color w:val="auto"/>
          <w:sz w:val="20"/>
          <w:szCs w:val="20"/>
        </w:rPr>
        <w:t>4. PPE Requirements</w:t>
      </w:r>
    </w:p>
    <w:p w14:paraId="53CB0409" w14:textId="77777777" w:rsidR="00681A72" w:rsidRPr="00933F88" w:rsidRDefault="00000000">
      <w:pPr>
        <w:rPr>
          <w:rFonts w:ascii="Aptos Display" w:hAnsi="Aptos Display"/>
          <w:sz w:val="20"/>
          <w:szCs w:val="20"/>
        </w:rPr>
      </w:pPr>
      <w:r w:rsidRPr="00933F88">
        <w:rPr>
          <w:rFonts w:ascii="Aptos" w:hAnsi="Aptos" w:eastAsia="Aptos" w:cs="Aptos"/>
          <w:sz w:val="20"/>
          <w:szCs w:val="20"/>
        </w:rPr>
        <w:t>Mandatory PPE: Safety helmet (EN397), eye/face protection (EN166), hearing protection (EN352), high visibility clothing where required, gloves and safety footwear (EN ISO 20345). Additional task-specific PPE as identified in the SSRA.</w:t>
      </w:r>
    </w:p>
    <w:p w14:paraId="2E66BA71" w14:textId="77777777" w:rsidR="00681A72" w:rsidRPr="00933F88" w:rsidRDefault="00000000">
      <w:pPr>
        <w:pStyle w:val="Heading2"/>
        <w:rPr>
          <w:rFonts w:ascii="Aptos Display" w:hAnsi="Aptos Display"/>
          <w:color w:val="auto"/>
          <w:sz w:val="20"/>
          <w:szCs w:val="20"/>
        </w:rPr>
      </w:pPr>
      <w:r w:rsidRPr="00933F88">
        <w:rPr>
          <w:rFonts w:ascii="Aptos" w:hAnsi="Aptos" w:eastAsia="Aptos" w:cs="Aptos"/>
          <w:color w:val="auto"/>
          <w:sz w:val="20"/>
          <w:szCs w:val="20"/>
        </w:rPr>
        <w:t>5. Emergency Arrangements</w:t>
      </w:r>
    </w:p>
    <w:p w14:paraId="360B4D7B" w14:textId="77777777" w:rsidR="00681A72" w:rsidRPr="00933F88" w:rsidRDefault="00000000">
      <w:pPr>
        <w:rPr>
          <w:rFonts w:ascii="Aptos Display" w:hAnsi="Aptos Display"/>
          <w:sz w:val="20"/>
          <w:szCs w:val="20"/>
        </w:rPr>
      </w:pPr>
      <w:r w:rsidRPr="00933F88">
        <w:rPr>
          <w:rFonts w:ascii="Aptos" w:hAnsi="Aptos" w:eastAsia="Aptos" w:cs="Aptos"/>
          <w:sz w:val="20"/>
          <w:szCs w:val="20"/>
        </w:rPr>
        <w:t>Emergency arrangements must comply with FISA 802 – Emergency Planning. At least one operative must hold Emergency First Aid at Work certification. Fire extinguisher must be fitted to machine. Spill kits must be available. Nearest A&amp;E and precise site location (including What3Words where appropriate) must be recorded.</w:t>
      </w:r>
    </w:p>
    <w:p w14:paraId="6AA825A6" w14:textId="77777777" w:rsidR="00681A72" w:rsidRPr="00933F88" w:rsidRDefault="00000000">
      <w:pPr>
        <w:pStyle w:val="Heading2"/>
        <w:rPr>
          <w:rFonts w:ascii="Aptos Display" w:hAnsi="Aptos Display"/>
          <w:color w:val="auto"/>
          <w:sz w:val="20"/>
          <w:szCs w:val="20"/>
        </w:rPr>
      </w:pPr>
      <w:r w:rsidRPr="00933F88">
        <w:rPr>
          <w:rFonts w:ascii="Aptos" w:hAnsi="Aptos" w:eastAsia="Aptos" w:cs="Aptos"/>
          <w:color w:val="auto"/>
          <w:sz w:val="20"/>
          <w:szCs w:val="20"/>
        </w:rPr>
        <w:t>6. Risk Matrix &amp; Scoring</w:t>
      </w:r>
    </w:p>
    <w:p w14:paraId="4FB93376" w14:textId="77777777" w:rsidR="00681A72" w:rsidRPr="00933F88" w:rsidRDefault="00000000">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160"/>
        <w:gridCol w:w="2160"/>
        <w:gridCol w:w="2160"/>
        <w:gridCol w:w="2160"/>
        <w:gridCol w:w="2160"/>
        <w:gridCol w:w="2160"/>
      </w:tblGrid>
      <w:tr>
        <w:trPr>
          <w:cantSplit/>
        </w:trPr>
        <w:tc>
          <w:tcPr>
            <w:tcW w:type="dxa" w:w="2160"/>
            <w:vAlign w:val="center"/>
            <w:shd w:fill="D9D9D9"/>
          </w:tcPr>
          <w:p>
            <w:pPr>
              <w:spacing w:after="0" w:line="240" w:lineRule="auto"/>
              <w:jc w:val="left"/>
            </w:pPr>
            <w:r>
              <w:rPr>
                <w:rFonts w:ascii="Aptos" w:hAnsi="Aptos" w:eastAsia="Aptos" w:cs="Aptos"/>
                <w:sz w:val="20"/>
              </w:rPr>
            </w:r>
            <w:r>
              <w:rPr>
                <w:rFonts w:ascii="Aptos" w:hAnsi="Aptos" w:eastAsia="Aptos" w:cs="Aptos"/>
                <w:b w:val="0"/>
                <w:color w:val="000000"/>
                <w:sz w:val="20"/>
              </w:rPr>
              <w:t>Severity ↓ / Likelihood →</w:t>
            </w:r>
          </w:p>
        </w:tc>
        <w:tc>
          <w:tcPr>
            <w:tcW w:type="dxa" w:w="2160"/>
            <w:vAlign w:val="center"/>
            <w:shd w:fill="D9D9D9"/>
          </w:tcPr>
          <w:p>
            <w:pPr>
              <w:spacing w:after="0" w:line="240" w:lineRule="auto"/>
              <w:jc w:val="left"/>
            </w:pPr>
            <w:r>
              <w:rPr>
                <w:rFonts w:ascii="Aptos" w:hAnsi="Aptos" w:eastAsia="Aptos" w:cs="Aptos"/>
                <w:sz w:val="20"/>
              </w:rPr>
            </w:r>
            <w:r>
              <w:rPr>
                <w:rFonts w:ascii="Aptos" w:hAnsi="Aptos" w:eastAsia="Aptos" w:cs="Aptos"/>
                <w:b w:val="0"/>
                <w:color w:val="000000"/>
                <w:sz w:val="20"/>
              </w:rPr>
              <w:t>1 Rare</w:t>
            </w:r>
          </w:p>
        </w:tc>
        <w:tc>
          <w:tcPr>
            <w:tcW w:type="dxa" w:w="2160"/>
            <w:vAlign w:val="center"/>
            <w:shd w:fill="D9D9D9"/>
          </w:tcPr>
          <w:p>
            <w:pPr>
              <w:spacing w:after="0" w:line="240" w:lineRule="auto"/>
              <w:jc w:val="left"/>
            </w:pPr>
            <w:r>
              <w:rPr>
                <w:rFonts w:ascii="Aptos" w:hAnsi="Aptos" w:eastAsia="Aptos" w:cs="Aptos"/>
                <w:sz w:val="20"/>
              </w:rPr>
            </w:r>
            <w:r>
              <w:rPr>
                <w:rFonts w:ascii="Aptos" w:hAnsi="Aptos" w:eastAsia="Aptos" w:cs="Aptos"/>
                <w:b w:val="0"/>
                <w:color w:val="000000"/>
                <w:sz w:val="20"/>
              </w:rPr>
              <w:t>2 Unlikely</w:t>
            </w:r>
          </w:p>
        </w:tc>
        <w:tc>
          <w:tcPr>
            <w:tcW w:type="dxa" w:w="2160"/>
            <w:vAlign w:val="center"/>
            <w:shd w:fill="D9D9D9"/>
          </w:tcPr>
          <w:p>
            <w:pPr>
              <w:spacing w:after="0" w:line="240" w:lineRule="auto"/>
              <w:jc w:val="left"/>
            </w:pPr>
            <w:r>
              <w:rPr>
                <w:rFonts w:ascii="Aptos" w:hAnsi="Aptos" w:eastAsia="Aptos" w:cs="Aptos"/>
                <w:sz w:val="20"/>
              </w:rPr>
            </w:r>
            <w:r>
              <w:rPr>
                <w:rFonts w:ascii="Aptos" w:hAnsi="Aptos" w:eastAsia="Aptos" w:cs="Aptos"/>
                <w:b w:val="0"/>
                <w:color w:val="000000"/>
                <w:sz w:val="20"/>
              </w:rPr>
              <w:t>3 Possible</w:t>
            </w:r>
          </w:p>
        </w:tc>
        <w:tc>
          <w:tcPr>
            <w:tcW w:type="dxa" w:w="2160"/>
            <w:vAlign w:val="center"/>
            <w:shd w:fill="D9D9D9"/>
          </w:tcPr>
          <w:p>
            <w:pPr>
              <w:spacing w:after="0" w:line="240" w:lineRule="auto"/>
              <w:jc w:val="left"/>
            </w:pPr>
            <w:r>
              <w:rPr>
                <w:rFonts w:ascii="Aptos" w:hAnsi="Aptos" w:eastAsia="Aptos" w:cs="Aptos"/>
                <w:sz w:val="20"/>
              </w:rPr>
            </w:r>
            <w:r>
              <w:rPr>
                <w:rFonts w:ascii="Aptos" w:hAnsi="Aptos" w:eastAsia="Aptos" w:cs="Aptos"/>
                <w:b w:val="0"/>
                <w:color w:val="000000"/>
                <w:sz w:val="20"/>
              </w:rPr>
              <w:t>4 Likely</w:t>
            </w:r>
          </w:p>
        </w:tc>
        <w:tc>
          <w:tcPr>
            <w:tcW w:type="dxa" w:w="2160"/>
            <w:vAlign w:val="center"/>
            <w:shd w:fill="D9D9D9"/>
          </w:tcPr>
          <w:p>
            <w:pPr>
              <w:spacing w:after="0" w:line="240" w:lineRule="auto"/>
              <w:jc w:val="left"/>
            </w:pPr>
            <w:r>
              <w:rPr>
                <w:rFonts w:ascii="Aptos" w:hAnsi="Aptos" w:eastAsia="Aptos" w:cs="Aptos"/>
                <w:sz w:val="20"/>
              </w:rPr>
            </w:r>
            <w:r>
              <w:rPr>
                <w:rFonts w:ascii="Aptos" w:hAnsi="Aptos" w:eastAsia="Aptos" w:cs="Aptos"/>
                <w:b w:val="0"/>
                <w:color w:val="000000"/>
                <w:sz w:val="20"/>
              </w:rPr>
              <w:t>5 Very Likely</w:t>
            </w:r>
          </w:p>
        </w:tc>
      </w:tr>
      <w:tr>
        <w:trPr>
          <w:cantSplit/>
        </w:trPr>
        <w:tc>
          <w:tcPr>
            <w:tcW w:type="dxa" w:w="2160"/>
            <w:vAlign w:val="center"/>
          </w:tcPr>
          <w:p>
            <w:pPr>
              <w:spacing w:after="0" w:line="240" w:lineRule="auto"/>
              <w:jc w:val="left"/>
            </w:pPr>
            <w:r>
              <w:rPr>
                <w:rFonts w:ascii="Aptos" w:hAnsi="Aptos" w:eastAsia="Aptos" w:cs="Aptos"/>
                <w:sz w:val="20"/>
              </w:rPr>
            </w:r>
            <w:r>
              <w:rPr>
                <w:rFonts w:ascii="Aptos" w:hAnsi="Aptos" w:eastAsia="Aptos" w:cs="Aptos"/>
                <w:b w:val="0"/>
                <w:color w:val="000000"/>
                <w:sz w:val="20"/>
              </w:rPr>
              <w:t>1 Minor</w:t>
            </w:r>
          </w:p>
        </w:tc>
        <w:tc>
          <w:tcPr>
            <w:tcW w:type="dxa" w:w="2160"/>
            <w:vAlign w:val="center"/>
            <w:shd w:fill="92D050"/>
          </w:tcPr>
          <w:p>
            <w:pPr>
              <w:spacing w:after="0" w:line="240" w:lineRule="auto"/>
              <w:jc w:val="left"/>
            </w:pPr>
            <w:r>
              <w:rPr>
                <w:rFonts w:ascii="Aptos" w:hAnsi="Aptos" w:eastAsia="Aptos" w:cs="Aptos"/>
                <w:sz w:val="20"/>
              </w:rPr>
            </w:r>
            <w:r>
              <w:rPr>
                <w:rFonts w:ascii="Aptos" w:hAnsi="Aptos" w:eastAsia="Aptos" w:cs="Aptos"/>
                <w:b w:val="0"/>
                <w:color w:val="000000"/>
                <w:sz w:val="20"/>
              </w:rPr>
              <w:t>1</w:t>
            </w:r>
          </w:p>
        </w:tc>
        <w:tc>
          <w:tcPr>
            <w:tcW w:type="dxa" w:w="2160"/>
            <w:vAlign w:val="center"/>
            <w:shd w:fill="92D050"/>
          </w:tcPr>
          <w:p>
            <w:pPr>
              <w:spacing w:after="0" w:line="240" w:lineRule="auto"/>
              <w:jc w:val="left"/>
            </w:pPr>
            <w:r>
              <w:rPr>
                <w:rFonts w:ascii="Aptos" w:hAnsi="Aptos" w:eastAsia="Aptos" w:cs="Aptos"/>
                <w:sz w:val="20"/>
              </w:rPr>
            </w:r>
            <w:r>
              <w:rPr>
                <w:rFonts w:ascii="Aptos" w:hAnsi="Aptos" w:eastAsia="Aptos" w:cs="Aptos"/>
                <w:b w:val="0"/>
                <w:color w:val="000000"/>
                <w:sz w:val="20"/>
              </w:rPr>
              <w:t>2</w:t>
            </w:r>
          </w:p>
        </w:tc>
        <w:tc>
          <w:tcPr>
            <w:tcW w:type="dxa" w:w="2160"/>
            <w:vAlign w:val="center"/>
            <w:shd w:fill="92D050"/>
          </w:tcPr>
          <w:p>
            <w:pPr>
              <w:spacing w:after="0" w:line="240" w:lineRule="auto"/>
              <w:jc w:val="left"/>
            </w:pPr>
            <w:r>
              <w:rPr>
                <w:rFonts w:ascii="Aptos" w:hAnsi="Aptos" w:eastAsia="Aptos" w:cs="Aptos"/>
                <w:sz w:val="20"/>
              </w:rPr>
            </w:r>
            <w:r>
              <w:rPr>
                <w:rFonts w:ascii="Aptos" w:hAnsi="Aptos" w:eastAsia="Aptos" w:cs="Aptos"/>
                <w:b w:val="0"/>
                <w:color w:val="000000"/>
                <w:sz w:val="20"/>
              </w:rPr>
              <w:t>3</w:t>
            </w:r>
          </w:p>
        </w:tc>
        <w:tc>
          <w:tcPr>
            <w:tcW w:type="dxa" w:w="2160"/>
            <w:vAlign w:val="center"/>
            <w:shd w:fill="92D050"/>
          </w:tcPr>
          <w:p>
            <w:pPr>
              <w:spacing w:after="0" w:line="240" w:lineRule="auto"/>
              <w:jc w:val="left"/>
            </w:pPr>
            <w:r>
              <w:rPr>
                <w:rFonts w:ascii="Aptos" w:hAnsi="Aptos" w:eastAsia="Aptos" w:cs="Aptos"/>
                <w:sz w:val="20"/>
              </w:rPr>
            </w:r>
            <w:r>
              <w:rPr>
                <w:rFonts w:ascii="Aptos" w:hAnsi="Aptos" w:eastAsia="Aptos" w:cs="Aptos"/>
                <w:b w:val="0"/>
                <w:color w:val="000000"/>
                <w:sz w:val="20"/>
              </w:rPr>
              <w:t>4</w:t>
            </w:r>
          </w:p>
        </w:tc>
        <w:tc>
          <w:tcPr>
            <w:tcW w:type="dxa" w:w="2160"/>
            <w:vAlign w:val="center"/>
            <w:shd w:fill="F8CBAD"/>
          </w:tcPr>
          <w:p>
            <w:pPr>
              <w:spacing w:after="0" w:line="240" w:lineRule="auto"/>
              <w:jc w:val="left"/>
            </w:pPr>
            <w:r>
              <w:rPr>
                <w:rFonts w:ascii="Aptos" w:hAnsi="Aptos" w:eastAsia="Aptos" w:cs="Aptos"/>
                <w:sz w:val="20"/>
              </w:rPr>
            </w:r>
            <w:r>
              <w:rPr>
                <w:rFonts w:ascii="Aptos" w:hAnsi="Aptos" w:eastAsia="Aptos" w:cs="Aptos"/>
                <w:b w:val="0"/>
                <w:color w:val="000000"/>
                <w:sz w:val="20"/>
              </w:rPr>
              <w:t>5</w:t>
            </w:r>
          </w:p>
        </w:tc>
      </w:tr>
      <w:tr>
        <w:trPr>
          <w:cantSplit/>
        </w:trPr>
        <w:tc>
          <w:tcPr>
            <w:tcW w:type="dxa" w:w="2160"/>
            <w:vAlign w:val="center"/>
          </w:tcPr>
          <w:p>
            <w:pPr>
              <w:spacing w:after="0" w:line="240" w:lineRule="auto"/>
              <w:jc w:val="left"/>
            </w:pPr>
            <w:r>
              <w:rPr>
                <w:rFonts w:ascii="Aptos" w:hAnsi="Aptos" w:eastAsia="Aptos" w:cs="Aptos"/>
                <w:sz w:val="20"/>
              </w:rPr>
            </w:r>
            <w:r>
              <w:rPr>
                <w:rFonts w:ascii="Aptos" w:hAnsi="Aptos" w:eastAsia="Aptos" w:cs="Aptos"/>
                <w:b w:val="0"/>
                <w:color w:val="000000"/>
                <w:sz w:val="20"/>
              </w:rPr>
              <w:t>2 First Aid</w:t>
            </w:r>
          </w:p>
        </w:tc>
        <w:tc>
          <w:tcPr>
            <w:tcW w:type="dxa" w:w="2160"/>
            <w:vAlign w:val="center"/>
            <w:shd w:fill="92D050"/>
          </w:tcPr>
          <w:p>
            <w:pPr>
              <w:spacing w:after="0" w:line="240" w:lineRule="auto"/>
              <w:jc w:val="left"/>
            </w:pPr>
            <w:r>
              <w:rPr>
                <w:rFonts w:ascii="Aptos" w:hAnsi="Aptos" w:eastAsia="Aptos" w:cs="Aptos"/>
                <w:sz w:val="20"/>
              </w:rPr>
            </w:r>
            <w:r>
              <w:rPr>
                <w:rFonts w:ascii="Aptos" w:hAnsi="Aptos" w:eastAsia="Aptos" w:cs="Aptos"/>
                <w:b w:val="0"/>
                <w:color w:val="000000"/>
                <w:sz w:val="20"/>
              </w:rPr>
              <w:t>2</w:t>
            </w:r>
          </w:p>
        </w:tc>
        <w:tc>
          <w:tcPr>
            <w:tcW w:type="dxa" w:w="2160"/>
            <w:vAlign w:val="center"/>
            <w:shd w:fill="92D050"/>
          </w:tcPr>
          <w:p>
            <w:pPr>
              <w:spacing w:after="0" w:line="240" w:lineRule="auto"/>
              <w:jc w:val="left"/>
            </w:pPr>
            <w:r>
              <w:rPr>
                <w:rFonts w:ascii="Aptos" w:hAnsi="Aptos" w:eastAsia="Aptos" w:cs="Aptos"/>
                <w:sz w:val="20"/>
              </w:rPr>
            </w:r>
            <w:r>
              <w:rPr>
                <w:rFonts w:ascii="Aptos" w:hAnsi="Aptos" w:eastAsia="Aptos" w:cs="Aptos"/>
                <w:b w:val="0"/>
                <w:color w:val="000000"/>
                <w:sz w:val="20"/>
              </w:rPr>
              <w:t>4</w:t>
            </w:r>
          </w:p>
        </w:tc>
        <w:tc>
          <w:tcPr>
            <w:tcW w:type="dxa" w:w="2160"/>
            <w:vAlign w:val="center"/>
            <w:shd w:fill="F8CBAD"/>
          </w:tcPr>
          <w:p>
            <w:pPr>
              <w:spacing w:after="0" w:line="240" w:lineRule="auto"/>
              <w:jc w:val="left"/>
            </w:pPr>
            <w:r>
              <w:rPr>
                <w:rFonts w:ascii="Aptos" w:hAnsi="Aptos" w:eastAsia="Aptos" w:cs="Aptos"/>
                <w:sz w:val="20"/>
              </w:rPr>
            </w:r>
            <w:r>
              <w:rPr>
                <w:rFonts w:ascii="Aptos" w:hAnsi="Aptos" w:eastAsia="Aptos" w:cs="Aptos"/>
                <w:b w:val="0"/>
                <w:color w:val="000000"/>
                <w:sz w:val="20"/>
              </w:rPr>
              <w:t>6</w:t>
            </w:r>
          </w:p>
        </w:tc>
        <w:tc>
          <w:tcPr>
            <w:tcW w:type="dxa" w:w="2160"/>
            <w:vAlign w:val="center"/>
            <w:shd w:fill="F8CBAD"/>
          </w:tcPr>
          <w:p>
            <w:pPr>
              <w:spacing w:after="0" w:line="240" w:lineRule="auto"/>
              <w:jc w:val="left"/>
            </w:pPr>
            <w:r>
              <w:rPr>
                <w:rFonts w:ascii="Aptos" w:hAnsi="Aptos" w:eastAsia="Aptos" w:cs="Aptos"/>
                <w:sz w:val="20"/>
              </w:rPr>
            </w:r>
            <w:r>
              <w:rPr>
                <w:rFonts w:ascii="Aptos" w:hAnsi="Aptos" w:eastAsia="Aptos" w:cs="Aptos"/>
                <w:b w:val="0"/>
                <w:color w:val="000000"/>
                <w:sz w:val="20"/>
              </w:rPr>
              <w:t>8</w:t>
            </w:r>
          </w:p>
        </w:tc>
        <w:tc>
          <w:tcPr>
            <w:tcW w:type="dxa" w:w="2160"/>
            <w:vAlign w:val="center"/>
            <w:shd w:fill="ED7D31"/>
          </w:tcPr>
          <w:p>
            <w:pPr>
              <w:spacing w:after="0" w:line="240" w:lineRule="auto"/>
              <w:jc w:val="left"/>
            </w:pPr>
            <w:r>
              <w:rPr>
                <w:rFonts w:ascii="Aptos" w:hAnsi="Aptos" w:eastAsia="Aptos" w:cs="Aptos"/>
                <w:sz w:val="20"/>
              </w:rPr>
            </w:r>
            <w:r>
              <w:rPr>
                <w:rFonts w:ascii="Aptos" w:hAnsi="Aptos" w:eastAsia="Aptos" w:cs="Aptos"/>
                <w:b w:val="0"/>
                <w:color w:val="FFFFFF"/>
                <w:sz w:val="20"/>
              </w:rPr>
              <w:t>10</w:t>
            </w:r>
          </w:p>
        </w:tc>
      </w:tr>
      <w:tr>
        <w:trPr>
          <w:cantSplit/>
        </w:trPr>
        <w:tc>
          <w:tcPr>
            <w:tcW w:type="dxa" w:w="2160"/>
            <w:vAlign w:val="center"/>
          </w:tcPr>
          <w:p>
            <w:pPr>
              <w:spacing w:after="0" w:line="240" w:lineRule="auto"/>
              <w:jc w:val="left"/>
            </w:pPr>
            <w:r>
              <w:rPr>
                <w:rFonts w:ascii="Aptos" w:hAnsi="Aptos" w:eastAsia="Aptos" w:cs="Aptos"/>
                <w:sz w:val="20"/>
              </w:rPr>
            </w:r>
            <w:r>
              <w:rPr>
                <w:rFonts w:ascii="Aptos" w:hAnsi="Aptos" w:eastAsia="Aptos" w:cs="Aptos"/>
                <w:b w:val="0"/>
                <w:color w:val="000000"/>
                <w:sz w:val="20"/>
              </w:rPr>
              <w:t>3 Medical</w:t>
            </w:r>
          </w:p>
        </w:tc>
        <w:tc>
          <w:tcPr>
            <w:tcW w:type="dxa" w:w="2160"/>
            <w:vAlign w:val="center"/>
            <w:shd w:fill="92D050"/>
          </w:tcPr>
          <w:p>
            <w:pPr>
              <w:spacing w:after="0" w:line="240" w:lineRule="auto"/>
              <w:jc w:val="left"/>
            </w:pPr>
            <w:r>
              <w:rPr>
                <w:rFonts w:ascii="Aptos" w:hAnsi="Aptos" w:eastAsia="Aptos" w:cs="Aptos"/>
                <w:sz w:val="20"/>
              </w:rPr>
            </w:r>
            <w:r>
              <w:rPr>
                <w:rFonts w:ascii="Aptos" w:hAnsi="Aptos" w:eastAsia="Aptos" w:cs="Aptos"/>
                <w:b w:val="0"/>
                <w:color w:val="000000"/>
                <w:sz w:val="20"/>
              </w:rPr>
              <w:t>3</w:t>
            </w:r>
          </w:p>
        </w:tc>
        <w:tc>
          <w:tcPr>
            <w:tcW w:type="dxa" w:w="2160"/>
            <w:vAlign w:val="center"/>
            <w:shd w:fill="F8CBAD"/>
          </w:tcPr>
          <w:p>
            <w:pPr>
              <w:spacing w:after="0" w:line="240" w:lineRule="auto"/>
              <w:jc w:val="left"/>
            </w:pPr>
            <w:r>
              <w:rPr>
                <w:rFonts w:ascii="Aptos" w:hAnsi="Aptos" w:eastAsia="Aptos" w:cs="Aptos"/>
                <w:sz w:val="20"/>
              </w:rPr>
            </w:r>
            <w:r>
              <w:rPr>
                <w:rFonts w:ascii="Aptos" w:hAnsi="Aptos" w:eastAsia="Aptos" w:cs="Aptos"/>
                <w:b w:val="0"/>
                <w:color w:val="000000"/>
                <w:sz w:val="20"/>
              </w:rPr>
              <w:t>6</w:t>
            </w:r>
          </w:p>
        </w:tc>
        <w:tc>
          <w:tcPr>
            <w:tcW w:type="dxa" w:w="2160"/>
            <w:vAlign w:val="center"/>
            <w:shd w:fill="F8CBAD"/>
          </w:tcPr>
          <w:p>
            <w:pPr>
              <w:spacing w:after="0" w:line="240" w:lineRule="auto"/>
              <w:jc w:val="left"/>
            </w:pPr>
            <w:r>
              <w:rPr>
                <w:rFonts w:ascii="Aptos" w:hAnsi="Aptos" w:eastAsia="Aptos" w:cs="Aptos"/>
                <w:sz w:val="20"/>
              </w:rPr>
            </w:r>
            <w:r>
              <w:rPr>
                <w:rFonts w:ascii="Aptos" w:hAnsi="Aptos" w:eastAsia="Aptos" w:cs="Aptos"/>
                <w:b w:val="0"/>
                <w:color w:val="000000"/>
                <w:sz w:val="20"/>
              </w:rPr>
              <w:t>9</w:t>
            </w:r>
          </w:p>
        </w:tc>
        <w:tc>
          <w:tcPr>
            <w:tcW w:type="dxa" w:w="2160"/>
            <w:vAlign w:val="center"/>
            <w:shd w:fill="ED7D31"/>
          </w:tcPr>
          <w:p>
            <w:pPr>
              <w:spacing w:after="0" w:line="240" w:lineRule="auto"/>
              <w:jc w:val="left"/>
            </w:pPr>
            <w:r>
              <w:rPr>
                <w:rFonts w:ascii="Aptos" w:hAnsi="Aptos" w:eastAsia="Aptos" w:cs="Aptos"/>
                <w:sz w:val="20"/>
              </w:rPr>
            </w:r>
            <w:r>
              <w:rPr>
                <w:rFonts w:ascii="Aptos" w:hAnsi="Aptos" w:eastAsia="Aptos" w:cs="Aptos"/>
                <w:b w:val="0"/>
                <w:color w:val="FFFFFF"/>
                <w:sz w:val="20"/>
              </w:rPr>
              <w:t>12</w:t>
            </w:r>
          </w:p>
        </w:tc>
        <w:tc>
          <w:tcPr>
            <w:tcW w:type="dxa" w:w="2160"/>
            <w:vAlign w:val="center"/>
            <w:shd w:fill="ED7D31"/>
          </w:tcPr>
          <w:p>
            <w:pPr>
              <w:spacing w:after="0" w:line="240" w:lineRule="auto"/>
              <w:jc w:val="left"/>
            </w:pPr>
            <w:r>
              <w:rPr>
                <w:rFonts w:ascii="Aptos" w:hAnsi="Aptos" w:eastAsia="Aptos" w:cs="Aptos"/>
                <w:sz w:val="20"/>
              </w:rPr>
            </w:r>
            <w:r>
              <w:rPr>
                <w:rFonts w:ascii="Aptos" w:hAnsi="Aptos" w:eastAsia="Aptos" w:cs="Aptos"/>
                <w:b w:val="0"/>
                <w:color w:val="FFFFFF"/>
                <w:sz w:val="20"/>
              </w:rPr>
              <w:t>15</w:t>
            </w:r>
          </w:p>
        </w:tc>
      </w:tr>
      <w:tr>
        <w:trPr>
          <w:cantSplit/>
        </w:trPr>
        <w:tc>
          <w:tcPr>
            <w:tcW w:type="dxa" w:w="2160"/>
            <w:vAlign w:val="center"/>
          </w:tcPr>
          <w:p>
            <w:pPr>
              <w:spacing w:after="0" w:line="240" w:lineRule="auto"/>
              <w:jc w:val="left"/>
            </w:pPr>
            <w:r>
              <w:rPr>
                <w:rFonts w:ascii="Aptos" w:hAnsi="Aptos" w:eastAsia="Aptos" w:cs="Aptos"/>
                <w:sz w:val="20"/>
              </w:rPr>
            </w:r>
            <w:r>
              <w:rPr>
                <w:rFonts w:ascii="Aptos" w:hAnsi="Aptos" w:eastAsia="Aptos" w:cs="Aptos"/>
                <w:b w:val="0"/>
                <w:color w:val="000000"/>
                <w:sz w:val="20"/>
              </w:rPr>
              <w:t>4 Major</w:t>
            </w:r>
          </w:p>
        </w:tc>
        <w:tc>
          <w:tcPr>
            <w:tcW w:type="dxa" w:w="2160"/>
            <w:vAlign w:val="center"/>
            <w:shd w:fill="92D050"/>
          </w:tcPr>
          <w:p>
            <w:pPr>
              <w:spacing w:after="0" w:line="240" w:lineRule="auto"/>
              <w:jc w:val="left"/>
            </w:pPr>
            <w:r>
              <w:rPr>
                <w:rFonts w:ascii="Aptos" w:hAnsi="Aptos" w:eastAsia="Aptos" w:cs="Aptos"/>
                <w:sz w:val="20"/>
              </w:rPr>
            </w:r>
            <w:r>
              <w:rPr>
                <w:rFonts w:ascii="Aptos" w:hAnsi="Aptos" w:eastAsia="Aptos" w:cs="Aptos"/>
                <w:b w:val="0"/>
                <w:color w:val="000000"/>
                <w:sz w:val="20"/>
              </w:rPr>
              <w:t>4</w:t>
            </w:r>
          </w:p>
        </w:tc>
        <w:tc>
          <w:tcPr>
            <w:tcW w:type="dxa" w:w="2160"/>
            <w:vAlign w:val="center"/>
            <w:shd w:fill="F8CBAD"/>
          </w:tcPr>
          <w:p>
            <w:pPr>
              <w:spacing w:after="0" w:line="240" w:lineRule="auto"/>
              <w:jc w:val="left"/>
            </w:pPr>
            <w:r>
              <w:rPr>
                <w:rFonts w:ascii="Aptos" w:hAnsi="Aptos" w:eastAsia="Aptos" w:cs="Aptos"/>
                <w:sz w:val="20"/>
              </w:rPr>
            </w:r>
            <w:r>
              <w:rPr>
                <w:rFonts w:ascii="Aptos" w:hAnsi="Aptos" w:eastAsia="Aptos" w:cs="Aptos"/>
                <w:b w:val="0"/>
                <w:color w:val="000000"/>
                <w:sz w:val="20"/>
              </w:rPr>
              <w:t>8</w:t>
            </w:r>
          </w:p>
        </w:tc>
        <w:tc>
          <w:tcPr>
            <w:tcW w:type="dxa" w:w="2160"/>
            <w:vAlign w:val="center"/>
            <w:shd w:fill="ED7D31"/>
          </w:tcPr>
          <w:p>
            <w:pPr>
              <w:spacing w:after="0" w:line="240" w:lineRule="auto"/>
              <w:jc w:val="left"/>
            </w:pPr>
            <w:r>
              <w:rPr>
                <w:rFonts w:ascii="Aptos" w:hAnsi="Aptos" w:eastAsia="Aptos" w:cs="Aptos"/>
                <w:sz w:val="20"/>
              </w:rPr>
            </w:r>
            <w:r>
              <w:rPr>
                <w:rFonts w:ascii="Aptos" w:hAnsi="Aptos" w:eastAsia="Aptos" w:cs="Aptos"/>
                <w:b w:val="0"/>
                <w:color w:val="FFFFFF"/>
                <w:sz w:val="20"/>
              </w:rPr>
              <w:t>12</w:t>
            </w:r>
          </w:p>
        </w:tc>
        <w:tc>
          <w:tcPr>
            <w:tcW w:type="dxa" w:w="2160"/>
            <w:vAlign w:val="center"/>
            <w:shd w:fill="ED7D31"/>
          </w:tcPr>
          <w:p>
            <w:pPr>
              <w:spacing w:after="0" w:line="240" w:lineRule="auto"/>
              <w:jc w:val="left"/>
            </w:pPr>
            <w:r>
              <w:rPr>
                <w:rFonts w:ascii="Aptos" w:hAnsi="Aptos" w:eastAsia="Aptos" w:cs="Aptos"/>
                <w:sz w:val="20"/>
              </w:rPr>
            </w:r>
            <w:r>
              <w:rPr>
                <w:rFonts w:ascii="Aptos" w:hAnsi="Aptos" w:eastAsia="Aptos" w:cs="Aptos"/>
                <w:b w:val="0"/>
                <w:color w:val="FFFFFF"/>
                <w:sz w:val="20"/>
              </w:rPr>
              <w:t>16</w:t>
            </w:r>
          </w:p>
        </w:tc>
        <w:tc>
          <w:tcPr>
            <w:tcW w:type="dxa" w:w="2160"/>
            <w:vAlign w:val="center"/>
            <w:shd w:fill="FF0000"/>
          </w:tcPr>
          <w:p>
            <w:pPr>
              <w:spacing w:after="0" w:line="240" w:lineRule="auto"/>
              <w:jc w:val="left"/>
            </w:pPr>
            <w:r>
              <w:rPr>
                <w:rFonts w:ascii="Aptos" w:hAnsi="Aptos" w:eastAsia="Aptos" w:cs="Aptos"/>
                <w:sz w:val="20"/>
              </w:rPr>
            </w:r>
            <w:r>
              <w:rPr>
                <w:rFonts w:ascii="Aptos" w:hAnsi="Aptos" w:eastAsia="Aptos" w:cs="Aptos"/>
                <w:b w:val="0"/>
                <w:color w:val="FFFFFF"/>
                <w:sz w:val="20"/>
              </w:rPr>
              <w:t>20</w:t>
            </w:r>
          </w:p>
        </w:tc>
      </w:tr>
      <w:tr>
        <w:trPr>
          <w:cantSplit/>
        </w:trPr>
        <w:tc>
          <w:tcPr>
            <w:tcW w:type="dxa" w:w="2160"/>
            <w:vAlign w:val="center"/>
          </w:tcPr>
          <w:p>
            <w:pPr>
              <w:spacing w:after="0" w:line="240" w:lineRule="auto"/>
              <w:jc w:val="left"/>
            </w:pPr>
            <w:r>
              <w:rPr>
                <w:rFonts w:ascii="Aptos" w:hAnsi="Aptos" w:eastAsia="Aptos" w:cs="Aptos"/>
                <w:sz w:val="20"/>
              </w:rPr>
            </w:r>
            <w:r>
              <w:rPr>
                <w:rFonts w:ascii="Aptos" w:hAnsi="Aptos" w:eastAsia="Aptos" w:cs="Aptos"/>
                <w:b w:val="0"/>
                <w:color w:val="000000"/>
                <w:sz w:val="20"/>
              </w:rPr>
              <w:t>5 Fatal</w:t>
            </w:r>
          </w:p>
        </w:tc>
        <w:tc>
          <w:tcPr>
            <w:tcW w:type="dxa" w:w="2160"/>
            <w:vAlign w:val="center"/>
            <w:shd w:fill="F8CBAD"/>
          </w:tcPr>
          <w:p>
            <w:pPr>
              <w:spacing w:after="0" w:line="240" w:lineRule="auto"/>
              <w:jc w:val="left"/>
            </w:pPr>
            <w:r>
              <w:rPr>
                <w:rFonts w:ascii="Aptos" w:hAnsi="Aptos" w:eastAsia="Aptos" w:cs="Aptos"/>
                <w:sz w:val="20"/>
              </w:rPr>
            </w:r>
            <w:r>
              <w:rPr>
                <w:rFonts w:ascii="Aptos" w:hAnsi="Aptos" w:eastAsia="Aptos" w:cs="Aptos"/>
                <w:b w:val="0"/>
                <w:color w:val="000000"/>
                <w:sz w:val="20"/>
              </w:rPr>
              <w:t>5</w:t>
            </w:r>
          </w:p>
        </w:tc>
        <w:tc>
          <w:tcPr>
            <w:tcW w:type="dxa" w:w="2160"/>
            <w:vAlign w:val="center"/>
            <w:shd w:fill="ED7D31"/>
          </w:tcPr>
          <w:p>
            <w:pPr>
              <w:spacing w:after="0" w:line="240" w:lineRule="auto"/>
              <w:jc w:val="left"/>
            </w:pPr>
            <w:r>
              <w:rPr>
                <w:rFonts w:ascii="Aptos" w:hAnsi="Aptos" w:eastAsia="Aptos" w:cs="Aptos"/>
                <w:sz w:val="20"/>
              </w:rPr>
            </w:r>
            <w:r>
              <w:rPr>
                <w:rFonts w:ascii="Aptos" w:hAnsi="Aptos" w:eastAsia="Aptos" w:cs="Aptos"/>
                <w:b w:val="0"/>
                <w:color w:val="FFFFFF"/>
                <w:sz w:val="20"/>
              </w:rPr>
              <w:t>10</w:t>
            </w:r>
          </w:p>
        </w:tc>
        <w:tc>
          <w:tcPr>
            <w:tcW w:type="dxa" w:w="2160"/>
            <w:vAlign w:val="center"/>
            <w:shd w:fill="ED7D31"/>
          </w:tcPr>
          <w:p>
            <w:pPr>
              <w:spacing w:after="0" w:line="240" w:lineRule="auto"/>
              <w:jc w:val="left"/>
            </w:pPr>
            <w:r>
              <w:rPr>
                <w:rFonts w:ascii="Aptos" w:hAnsi="Aptos" w:eastAsia="Aptos" w:cs="Aptos"/>
                <w:sz w:val="20"/>
              </w:rPr>
            </w:r>
            <w:r>
              <w:rPr>
                <w:rFonts w:ascii="Aptos" w:hAnsi="Aptos" w:eastAsia="Aptos" w:cs="Aptos"/>
                <w:b w:val="0"/>
                <w:color w:val="FFFFFF"/>
                <w:sz w:val="20"/>
              </w:rPr>
              <w:t>15</w:t>
            </w:r>
          </w:p>
        </w:tc>
        <w:tc>
          <w:tcPr>
            <w:tcW w:type="dxa" w:w="2160"/>
            <w:vAlign w:val="center"/>
            <w:shd w:fill="FF0000"/>
          </w:tcPr>
          <w:p>
            <w:pPr>
              <w:spacing w:after="0" w:line="240" w:lineRule="auto"/>
              <w:jc w:val="left"/>
            </w:pPr>
            <w:r>
              <w:rPr>
                <w:rFonts w:ascii="Aptos" w:hAnsi="Aptos" w:eastAsia="Aptos" w:cs="Aptos"/>
                <w:sz w:val="20"/>
              </w:rPr>
            </w:r>
            <w:r>
              <w:rPr>
                <w:rFonts w:ascii="Aptos" w:hAnsi="Aptos" w:eastAsia="Aptos" w:cs="Aptos"/>
                <w:b w:val="0"/>
                <w:color w:val="FFFFFF"/>
                <w:sz w:val="20"/>
              </w:rPr>
              <w:t>20</w:t>
            </w:r>
          </w:p>
        </w:tc>
        <w:tc>
          <w:tcPr>
            <w:tcW w:type="dxa" w:w="2160"/>
            <w:vAlign w:val="center"/>
            <w:shd w:fill="FF0000"/>
          </w:tcPr>
          <w:p>
            <w:pPr>
              <w:spacing w:after="0" w:line="240" w:lineRule="auto"/>
              <w:jc w:val="left"/>
            </w:pPr>
            <w:r>
              <w:rPr>
                <w:rFonts w:ascii="Aptos" w:hAnsi="Aptos" w:eastAsia="Aptos" w:cs="Aptos"/>
                <w:sz w:val="20"/>
              </w:rPr>
            </w:r>
            <w:r>
              <w:rPr>
                <w:rFonts w:ascii="Aptos" w:hAnsi="Aptos" w:eastAsia="Aptos" w:cs="Aptos"/>
                <w:b w:val="0"/>
                <w:color w:val="FFFFFF"/>
                <w:sz w:val="20"/>
              </w:rPr>
              <w:t>25</w:t>
            </w:r>
          </w:p>
        </w:tc>
      </w:tr>
    </w:tbl>
    <w:p w14:paraId="0EF80DC3" w14:textId="77777777" w:rsidR="00681A72" w:rsidRPr="00933F88" w:rsidRDefault="00000000">
      <w:pPr>
        <w:pStyle w:val="Heading2"/>
        <w:rPr>
          <w:rFonts w:ascii="Aptos Display" w:hAnsi="Aptos Display"/>
          <w:color w:val="auto"/>
          <w:sz w:val="20"/>
          <w:szCs w:val="20"/>
        </w:rPr>
      </w:pPr>
      <w:r w:rsidRPr="00933F88">
        <w:rPr>
          <w:rFonts w:ascii="Aptos" w:hAnsi="Aptos" w:eastAsia="Aptos" w:cs="Aptos"/>
          <w:color w:val="auto"/>
          <w:sz w:val="20"/>
          <w:szCs w:val="20"/>
        </w:rPr>
        <w:t>7. Relevant UK Legislation, Guidance &amp; Good Practice</w:t>
      </w:r>
    </w:p>
    <w:p w14:paraId="5D34A7C9"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Health and Safety at Work etc. Act 1974</w:t>
      </w:r>
    </w:p>
    <w:p w14:paraId="4815C1D4"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Management of Health and Safety at Work Regulations 1999</w:t>
      </w:r>
    </w:p>
    <w:p w14:paraId="05B9CCDE"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Provision and Use of Work Equipment Regulations 1998 (PUWER)</w:t>
      </w:r>
    </w:p>
    <w:p w14:paraId="43F514E0"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Lifting Operations and Lifting Equipment Regulations 1998 (LOLER) (where applicable)</w:t>
      </w:r>
    </w:p>
    <w:p w14:paraId="2C2EA001"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Control of Noise at Work Regulations 2005</w:t>
      </w:r>
    </w:p>
    <w:p w14:paraId="13BD1CE9"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Control of Vibration at Work Regulations 2005</w:t>
      </w:r>
    </w:p>
    <w:p w14:paraId="590AC240"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Electricity at Work Regulations 1989</w:t>
      </w:r>
    </w:p>
    <w:p w14:paraId="0CCB0684"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Environmental Protection Act 1990</w:t>
      </w:r>
    </w:p>
    <w:p w14:paraId="63C5B3B1"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Road Traffic Act 1988 (where operating near highways)</w:t>
      </w:r>
    </w:p>
    <w:p w14:paraId="328B80EB"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FISA 204 – Flails and Mulchers in Tree Work</w:t>
      </w:r>
    </w:p>
    <w:p w14:paraId="2CDD7543"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FISA 702 – All-Terrain Vehicles (where applicable)</w:t>
      </w:r>
    </w:p>
    <w:p w14:paraId="46E86687"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FISA 802 – Emergency Planning</w:t>
      </w:r>
    </w:p>
    <w:p w14:paraId="5CB2250E"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FISA 804 – Electricity at Work Forestry &amp; Arboriculture</w:t>
      </w:r>
    </w:p>
    <w:p w14:paraId="39446606"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FISA 805 – Training and Certification</w:t>
      </w:r>
    </w:p>
    <w:p w14:paraId="100AC927"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HSE INDG229 – Using Work Equipment Safely</w:t>
      </w:r>
    </w:p>
    <w:p w14:paraId="08D38FE6" w14:textId="77777777" w:rsidR="00681A72" w:rsidRPr="00933F88" w:rsidRDefault="00000000" w:rsidP="00933F88">
      <w:pPr>
        <w:spacing w:after="0"/>
        <w:rPr>
          <w:rFonts w:ascii="Aptos Display" w:hAnsi="Aptos Display"/>
          <w:sz w:val="20"/>
          <w:szCs w:val="20"/>
        </w:rPr>
      </w:pPr>
      <w:r w:rsidRPr="00933F88">
        <w:rPr>
          <w:rFonts w:ascii="Aptos" w:hAnsi="Aptos" w:eastAsia="Aptos" w:cs="Aptos"/>
          <w:sz w:val="20"/>
          <w:szCs w:val="20"/>
        </w:rPr>
        <w:t>HSE INDG362 – Noise at Work</w:t>
      </w:r>
    </w:p>
    <w:p w14:paraId="37441CE8" w14:textId="77777777" w:rsidR="00681A72" w:rsidRDefault="00000000" w:rsidP="00933F88">
      <w:pPr>
        <w:spacing w:after="0"/>
        <w:rPr>
          <w:rFonts w:ascii="Aptos Display" w:hAnsi="Aptos Display"/>
          <w:sz w:val="20"/>
          <w:szCs w:val="20"/>
        </w:rPr>
      </w:pPr>
      <w:r w:rsidRPr="00933F88">
        <w:rPr>
          <w:rFonts w:ascii="Aptos" w:hAnsi="Aptos" w:eastAsia="Aptos" w:cs="Aptos"/>
          <w:sz w:val="20"/>
          <w:szCs w:val="20"/>
        </w:rPr>
        <w:t>HSE INDG363 – Protect Your Hearing or Lose It</w:t>
      </w:r>
    </w:p>
    <w:p w14:paraId="6DEB501D" w14:textId="77777777" w:rsidR="00933F88" w:rsidRPr="00933F88" w:rsidRDefault="00933F88" w:rsidP="00933F88">
      <w:pPr>
        <w:spacing w:after="0"/>
        <w:rPr>
          <w:rFonts w:ascii="Aptos Display" w:hAnsi="Aptos Display"/>
          <w:sz w:val="20"/>
          <w:szCs w:val="20"/>
        </w:rPr>
      </w:pPr>
    </w:p>
    <w:p w14:paraId="4B15CC85" w14:textId="77777777" w:rsidR="00681A72" w:rsidRDefault="00000000">
      <w:pPr>
        <w:pStyle w:val="Heading2"/>
        <w:rPr>
          <w:rFonts w:ascii="Aptos Display" w:hAnsi="Aptos Display"/>
          <w:color w:val="auto"/>
          <w:sz w:val="20"/>
          <w:szCs w:val="20"/>
        </w:rPr>
      </w:pPr>
      <w:r w:rsidRPr="00933F88">
        <w:rPr>
          <w:rFonts w:ascii="Aptos" w:hAnsi="Aptos" w:eastAsia="Aptos" w:cs="Aptos"/>
          <w:color w:val="auto"/>
          <w:sz w:val="20"/>
          <w:szCs w:val="20"/>
        </w:rPr>
        <w:t>8. Hazards &amp; Control Measures</w:t>
      </w:r>
    </w:p>
    <w:p w14:paraId="3B328E04" w14:textId="77777777" w:rsidR="00933F88" w:rsidRPr="00933F88" w:rsidRDefault="00933F88" w:rsidP="00933F88"/>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817"/>
        <w:gridCol w:w="1529"/>
        <w:gridCol w:w="2074"/>
        <w:gridCol w:w="836"/>
        <w:gridCol w:w="837"/>
        <w:gridCol w:w="1094"/>
        <w:gridCol w:w="3405"/>
        <w:gridCol w:w="1358"/>
        <w:gridCol w:w="720"/>
        <w:gridCol w:w="936"/>
      </w:tblGrid>
      <w:tr w:rsidR="00933F88" w:rsidRPr="00933F88" w14:paraId="70D2FD06" w14:textId="77777777" w:rsidTr="00933F88">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933F88" w:rsidRPr="00933F88" w14:paraId="48FB46DD" w14:textId="77777777" w:rsidTr="00933F88">
        <w:trPr>
          <w:jc w:val="center"/>
          <w:cantSplit/>
        </w:trPr>
        <w:tc>
          <w:tcPr>
            <w:tcW w:w="1368" w:type="dxa"/>
            <w:shd w:fill="FFFFFF"/>
          </w:tcPr>
          <w:p w14:paraId="6941BEBF"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Contact with rotating mulching head</w:t>
            </w:r>
          </w:p>
        </w:tc>
        <w:tc>
          <w:tcPr>
            <w:tcW w:w="1080" w:type="dxa"/>
            <w:shd w:fill="FFFFFF"/>
          </w:tcPr>
          <w:p w14:paraId="1A3F9110"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Operator, others</w:t>
            </w:r>
          </w:p>
        </w:tc>
        <w:tc>
          <w:tcPr>
            <w:tcW w:w="1584" w:type="dxa"/>
            <w:shd w:fill="FFFFFF"/>
          </w:tcPr>
          <w:p w14:paraId="13ACC6F7"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Severe injury from contact with rotating drum or teeth</w:t>
            </w:r>
          </w:p>
        </w:tc>
        <w:tc>
          <w:tcPr>
            <w:tcW w:w="576" w:type="dxa"/>
            <w:shd w:val="clear" w:color="auto" w:fill="FFFFFF"/>
          </w:tcPr>
          <w:p w14:paraId="6659B564"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4</w:t>
            </w:r>
          </w:p>
        </w:tc>
        <w:tc>
          <w:tcPr>
            <w:tcW w:w="576" w:type="dxa"/>
            <w:shd w:val="clear" w:color="auto" w:fill="FFFFFF" w:themeFill="accent6" w:themeFillTint="33"/>
          </w:tcPr>
          <w:p w14:paraId="1A9097FE"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5</w:t>
            </w:r>
          </w:p>
        </w:tc>
        <w:tc>
          <w:tcPr>
            <w:tcW w:w="835" w:type="dxa"/>
            <w:shd w:val="clear" w:color="auto" w:fill="FF0000"/>
          </w:tcPr>
          <w:p w14:paraId="3823BCDF"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color w:val="FFFFFF"/>
                <w:sz w:val="20"/>
                <w:szCs w:val="20"/>
              </w:rPr>
              <w:t>20</w:t>
            </w:r>
          </w:p>
        </w:tc>
        <w:tc>
          <w:tcPr>
            <w:tcW w:w="4104" w:type="dxa"/>
            <w:shd w:fill="FFFFFF"/>
          </w:tcPr>
          <w:p w14:paraId="4E11896F"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Operators trained and competent; guarding in place; exclusion zone minimum 10–20m depending on machine; machine stopped before leaving cab; no ground staff within danger zone; pre-start checks documented.</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933F88" w:rsidRPr="00933F88" w14:paraId="182ED88C" w14:textId="77777777" w:rsidTr="00933F88">
        <w:trPr>
          <w:jc w:val="center"/>
          <w:cantSplit/>
        </w:trPr>
        <w:tc>
          <w:tcPr>
            <w:tcW w:w="1368" w:type="dxa"/>
            <w:shd w:fill="F4F0F7"/>
          </w:tcPr>
          <w:p w14:paraId="6ADA5BC8"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Flying debris / projectiles</w:t>
            </w:r>
          </w:p>
        </w:tc>
        <w:tc>
          <w:tcPr>
            <w:tcW w:w="1080" w:type="dxa"/>
            <w:shd w:fill="F4F0F7"/>
          </w:tcPr>
          <w:p w14:paraId="55FFFD25"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Operator, public</w:t>
            </w:r>
          </w:p>
        </w:tc>
        <w:tc>
          <w:tcPr>
            <w:tcW w:w="1584" w:type="dxa"/>
            <w:shd w:fill="F4F0F7"/>
          </w:tcPr>
          <w:p w14:paraId="589F4716"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Stones or metal projected causing injury</w:t>
            </w:r>
          </w:p>
        </w:tc>
        <w:tc>
          <w:tcPr>
            <w:tcW w:w="576" w:type="dxa"/>
            <w:shd w:val="clear" w:color="auto" w:fill="F4F0F7"/>
          </w:tcPr>
          <w:p w14:paraId="7176FE3E"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4</w:t>
            </w:r>
          </w:p>
        </w:tc>
        <w:tc>
          <w:tcPr>
            <w:tcW w:w="576" w:type="dxa"/>
            <w:shd w:val="clear" w:color="auto" w:fill="F4F0F7" w:themeFill="accent6" w:themeFillTint="33"/>
          </w:tcPr>
          <w:p w14:paraId="7D0475E6"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5</w:t>
            </w:r>
          </w:p>
        </w:tc>
        <w:tc>
          <w:tcPr>
            <w:tcW w:w="835" w:type="dxa"/>
            <w:shd w:val="clear" w:color="auto" w:fill="FF0000"/>
          </w:tcPr>
          <w:p w14:paraId="2F2BEF9E"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color w:val="FFFFFF"/>
                <w:sz w:val="20"/>
                <w:szCs w:val="20"/>
              </w:rPr>
              <w:t>20</w:t>
            </w:r>
          </w:p>
        </w:tc>
        <w:tc>
          <w:tcPr>
            <w:tcW w:w="4104" w:type="dxa"/>
            <w:shd w:fill="F4F0F7"/>
          </w:tcPr>
          <w:p w14:paraId="43944C00"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Exclusion zone enforced; banksman used; work stopped if public enter zone; protective screens used where required; operate at appropriate head speed; visual inspection for foreign objects before mulching.</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933F88" w:rsidRPr="00933F88" w14:paraId="2ADFE276" w14:textId="77777777" w:rsidTr="00933F88">
        <w:trPr>
          <w:jc w:val="center"/>
          <w:cantSplit/>
        </w:trPr>
        <w:tc>
          <w:tcPr>
            <w:tcW w:w="1368" w:type="dxa"/>
            <w:shd w:fill="FFFFFF"/>
          </w:tcPr>
          <w:p w14:paraId="58362044"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Machine overturn / instability</w:t>
            </w:r>
          </w:p>
        </w:tc>
        <w:tc>
          <w:tcPr>
            <w:tcW w:w="1080" w:type="dxa"/>
            <w:shd w:fill="FFFFFF"/>
          </w:tcPr>
          <w:p w14:paraId="2F80AD64"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Operator</w:t>
            </w:r>
          </w:p>
        </w:tc>
        <w:tc>
          <w:tcPr>
            <w:tcW w:w="1584" w:type="dxa"/>
            <w:shd w:fill="FFFFFF"/>
          </w:tcPr>
          <w:p w14:paraId="7688A340"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Roll-over due to slope or ground void</w:t>
            </w:r>
          </w:p>
        </w:tc>
        <w:tc>
          <w:tcPr>
            <w:tcW w:w="576" w:type="dxa"/>
            <w:shd w:val="clear" w:color="auto" w:fill="FFFFFF"/>
          </w:tcPr>
          <w:p w14:paraId="72EBCADA"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4</w:t>
            </w:r>
          </w:p>
        </w:tc>
        <w:tc>
          <w:tcPr>
            <w:tcW w:w="576" w:type="dxa"/>
            <w:shd w:val="clear" w:color="auto" w:fill="FFFFFF" w:themeFill="accent6" w:themeFillTint="33"/>
          </w:tcPr>
          <w:p w14:paraId="5AD21018"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5</w:t>
            </w:r>
          </w:p>
        </w:tc>
        <w:tc>
          <w:tcPr>
            <w:tcW w:w="835" w:type="dxa"/>
            <w:shd w:val="clear" w:color="auto" w:fill="FF0000"/>
          </w:tcPr>
          <w:p w14:paraId="47C04F25"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color w:val="FFFFFF"/>
                <w:sz w:val="20"/>
                <w:szCs w:val="20"/>
              </w:rPr>
              <w:t>20</w:t>
            </w:r>
          </w:p>
        </w:tc>
        <w:tc>
          <w:tcPr>
            <w:tcW w:w="4104" w:type="dxa"/>
            <w:shd w:fill="FFFFFF"/>
          </w:tcPr>
          <w:p w14:paraId="37A923E5"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 xml:space="preserve">ROPS fitted; seatbelt </w:t>
            </w:r>
            <w:proofErr w:type="gramStart"/>
            <w:r w:rsidRPr="00933F88">
              <w:rPr>
                <w:rFonts w:ascii="Aptos" w:hAnsi="Aptos" w:eastAsia="Aptos" w:cs="Aptos"/>
                <w:sz w:val="20"/>
                <w:szCs w:val="20"/>
              </w:rPr>
              <w:t>worn at all times</w:t>
            </w:r>
            <w:proofErr w:type="gramEnd"/>
            <w:r w:rsidRPr="00933F88">
              <w:rPr>
                <w:rFonts w:ascii="Aptos" w:hAnsi="Aptos" w:eastAsia="Aptos" w:cs="Aptos"/>
                <w:sz w:val="20"/>
                <w:szCs w:val="20"/>
              </w:rPr>
              <w:t>; terrain assessed; slopes traversed safely; no operation on excessive gradient; competent operator only; dynamic ground assessment.</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933F88" w:rsidRPr="00933F88" w14:paraId="10DC265F" w14:textId="77777777" w:rsidTr="00933F88">
        <w:trPr>
          <w:jc w:val="center"/>
          <w:cantSplit/>
        </w:trPr>
        <w:tc>
          <w:tcPr>
            <w:tcW w:w="1368" w:type="dxa"/>
            <w:shd w:fill="F4F0F7"/>
          </w:tcPr>
          <w:p w14:paraId="69FF846F"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Noise exposure</w:t>
            </w:r>
          </w:p>
        </w:tc>
        <w:tc>
          <w:tcPr>
            <w:tcW w:w="1080" w:type="dxa"/>
            <w:shd w:fill="F4F0F7"/>
          </w:tcPr>
          <w:p w14:paraId="0A887FAD"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Operator</w:t>
            </w:r>
          </w:p>
        </w:tc>
        <w:tc>
          <w:tcPr>
            <w:tcW w:w="1584" w:type="dxa"/>
            <w:shd w:fill="F4F0F7"/>
          </w:tcPr>
          <w:p w14:paraId="3196D229"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Hearing damage from prolonged exposure</w:t>
            </w:r>
          </w:p>
        </w:tc>
        <w:tc>
          <w:tcPr>
            <w:tcW w:w="576" w:type="dxa"/>
            <w:shd w:val="clear" w:color="auto" w:fill="F4F0F7"/>
          </w:tcPr>
          <w:p w14:paraId="02093F39"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3</w:t>
            </w:r>
          </w:p>
        </w:tc>
        <w:tc>
          <w:tcPr>
            <w:tcW w:w="576" w:type="dxa"/>
            <w:shd w:val="clear" w:color="auto" w:fill="F4F0F7"/>
          </w:tcPr>
          <w:p w14:paraId="37CB1665"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3</w:t>
            </w:r>
          </w:p>
        </w:tc>
        <w:tc>
          <w:tcPr>
            <w:tcW w:w="835" w:type="dxa"/>
            <w:shd w:val="clear" w:color="auto" w:fill="F8CBAD" w:themeFill="accent6" w:themeFillTint="33"/>
          </w:tcPr>
          <w:p w14:paraId="0526EC60"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color w:val="000000"/>
                <w:sz w:val="20"/>
                <w:szCs w:val="20"/>
              </w:rPr>
              <w:t>9</w:t>
            </w:r>
          </w:p>
        </w:tc>
        <w:tc>
          <w:tcPr>
            <w:tcW w:w="4104" w:type="dxa"/>
            <w:shd w:fill="F4F0F7"/>
          </w:tcPr>
          <w:p w14:paraId="4146D486"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Hearing protection worn; exposure assessed; maintenance regime followed; health surveillance where required.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933F88" w:rsidRPr="00933F88" w14:paraId="66DBBE8F" w14:textId="77777777" w:rsidTr="00933F88">
        <w:trPr>
          <w:jc w:val="center"/>
          <w:cantSplit/>
        </w:trPr>
        <w:tc>
          <w:tcPr>
            <w:tcW w:w="1368" w:type="dxa"/>
            <w:shd w:fill="FFFFFF"/>
          </w:tcPr>
          <w:p w14:paraId="68B8BD3C"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lastRenderedPageBreak/>
              <w:t>Whole body vibration</w:t>
            </w:r>
          </w:p>
        </w:tc>
        <w:tc>
          <w:tcPr>
            <w:tcW w:w="1080" w:type="dxa"/>
            <w:shd w:fill="FFFFFF"/>
          </w:tcPr>
          <w:p w14:paraId="1240A5E1"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Operator</w:t>
            </w:r>
          </w:p>
        </w:tc>
        <w:tc>
          <w:tcPr>
            <w:tcW w:w="1584" w:type="dxa"/>
            <w:shd w:fill="FFFFFF"/>
          </w:tcPr>
          <w:p w14:paraId="55285E9C"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Musculoskeletal disorders from prolonged operation</w:t>
            </w:r>
          </w:p>
        </w:tc>
        <w:tc>
          <w:tcPr>
            <w:tcW w:w="576" w:type="dxa"/>
            <w:shd w:val="clear" w:color="auto" w:fill="FFFFFF"/>
          </w:tcPr>
          <w:p w14:paraId="08C27784"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3</w:t>
            </w:r>
          </w:p>
        </w:tc>
        <w:tc>
          <w:tcPr>
            <w:tcW w:w="576" w:type="dxa"/>
            <w:shd w:val="clear" w:color="auto" w:fill="FFFFFF"/>
          </w:tcPr>
          <w:p w14:paraId="276FCB8F"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3</w:t>
            </w:r>
          </w:p>
        </w:tc>
        <w:tc>
          <w:tcPr>
            <w:tcW w:w="835" w:type="dxa"/>
            <w:shd w:val="clear" w:color="auto" w:fill="F8CBAD" w:themeFill="accent6" w:themeFillTint="33"/>
          </w:tcPr>
          <w:p w14:paraId="06E1072B"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color w:val="000000"/>
                <w:sz w:val="20"/>
                <w:szCs w:val="20"/>
              </w:rPr>
              <w:t>9</w:t>
            </w:r>
          </w:p>
        </w:tc>
        <w:tc>
          <w:tcPr>
            <w:tcW w:w="4104" w:type="dxa"/>
            <w:shd w:fill="FFFFFF"/>
          </w:tcPr>
          <w:p w14:paraId="01DCA46A"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Suitable seating/suspension; exposure duration managed; rotation of operators; vibration assessment completed; health surveillance where required.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933F88" w:rsidRPr="00933F88" w14:paraId="53041AD5" w14:textId="77777777" w:rsidTr="00933F88">
        <w:trPr>
          <w:jc w:val="center"/>
          <w:cantSplit/>
        </w:trPr>
        <w:tc>
          <w:tcPr>
            <w:tcW w:w="1368" w:type="dxa"/>
            <w:shd w:fill="F4F0F7"/>
          </w:tcPr>
          <w:p w14:paraId="172A6B74"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Fire risk from hot debris</w:t>
            </w:r>
          </w:p>
        </w:tc>
        <w:tc>
          <w:tcPr>
            <w:tcW w:w="1080" w:type="dxa"/>
            <w:shd w:fill="F4F0F7"/>
          </w:tcPr>
          <w:p w14:paraId="516900D4"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Operator, environment</w:t>
            </w:r>
          </w:p>
        </w:tc>
        <w:tc>
          <w:tcPr>
            <w:tcW w:w="1584" w:type="dxa"/>
            <w:shd w:fill="F4F0F7"/>
          </w:tcPr>
          <w:p w14:paraId="4451ADFD"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Ignition of dry vegetation or debris</w:t>
            </w:r>
          </w:p>
        </w:tc>
        <w:tc>
          <w:tcPr>
            <w:tcW w:w="576" w:type="dxa"/>
            <w:shd w:val="clear" w:color="auto" w:fill="F4F0F7"/>
          </w:tcPr>
          <w:p w14:paraId="0C8CAF1C"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3</w:t>
            </w:r>
          </w:p>
        </w:tc>
        <w:tc>
          <w:tcPr>
            <w:tcW w:w="576" w:type="dxa"/>
            <w:shd w:val="clear" w:color="auto" w:fill="F4F0F7"/>
          </w:tcPr>
          <w:p w14:paraId="0C2683BE"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4</w:t>
            </w:r>
          </w:p>
        </w:tc>
        <w:tc>
          <w:tcPr>
            <w:tcW w:w="835" w:type="dxa"/>
            <w:shd w:val="clear" w:color="auto" w:fill="ED7D31" w:themeFill="accent6" w:themeFillShade="BF"/>
          </w:tcPr>
          <w:p w14:paraId="3C98B6D6"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color w:val="FFFFFF"/>
                <w:sz w:val="20"/>
                <w:szCs w:val="20"/>
              </w:rPr>
              <w:t>12</w:t>
            </w:r>
          </w:p>
        </w:tc>
        <w:tc>
          <w:tcPr>
            <w:tcW w:w="4104" w:type="dxa"/>
            <w:shd w:fill="F4F0F7"/>
          </w:tcPr>
          <w:p w14:paraId="49AB0D07"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Fire extinguisher fitted; debris cleared from engine bay; monitor for hot spots; avoid mulching in extreme dry conditions; emergency procedure briefed.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933F88" w:rsidRPr="00933F88" w14:paraId="5DBA118E" w14:textId="77777777" w:rsidTr="00933F88">
        <w:trPr>
          <w:jc w:val="center"/>
          <w:cantSplit/>
        </w:trPr>
        <w:tc>
          <w:tcPr>
            <w:tcW w:w="1368" w:type="dxa"/>
            <w:shd w:fill="FFFFFF"/>
          </w:tcPr>
          <w:p w14:paraId="5F863CD6"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Hydraulic failure</w:t>
            </w:r>
          </w:p>
        </w:tc>
        <w:tc>
          <w:tcPr>
            <w:tcW w:w="1080" w:type="dxa"/>
            <w:shd w:fill="FFFFFF"/>
          </w:tcPr>
          <w:p w14:paraId="3BD8C751"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Operator, environment</w:t>
            </w:r>
          </w:p>
        </w:tc>
        <w:tc>
          <w:tcPr>
            <w:tcW w:w="1584" w:type="dxa"/>
            <w:shd w:fill="FFFFFF"/>
          </w:tcPr>
          <w:p w14:paraId="066345A5"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High-pressure injection injury or spill</w:t>
            </w:r>
          </w:p>
        </w:tc>
        <w:tc>
          <w:tcPr>
            <w:tcW w:w="576" w:type="dxa"/>
            <w:shd w:val="clear" w:color="auto" w:fill="FFFFFF"/>
          </w:tcPr>
          <w:p w14:paraId="29738EE7"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3</w:t>
            </w:r>
          </w:p>
        </w:tc>
        <w:tc>
          <w:tcPr>
            <w:tcW w:w="576" w:type="dxa"/>
            <w:shd w:val="clear" w:color="auto" w:fill="FFFFFF" w:themeFill="accent6" w:themeFillTint="33"/>
          </w:tcPr>
          <w:p w14:paraId="513E0417"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5</w:t>
            </w:r>
          </w:p>
        </w:tc>
        <w:tc>
          <w:tcPr>
            <w:tcW w:w="835" w:type="dxa"/>
            <w:shd w:val="clear" w:color="auto" w:fill="ED7D31" w:themeFill="accent6" w:themeFillShade="BF"/>
          </w:tcPr>
          <w:p w14:paraId="532FCDD5"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color w:val="FFFFFF"/>
                <w:sz w:val="20"/>
                <w:szCs w:val="20"/>
              </w:rPr>
              <w:t>15</w:t>
            </w:r>
          </w:p>
        </w:tc>
        <w:tc>
          <w:tcPr>
            <w:tcW w:w="4104" w:type="dxa"/>
            <w:shd w:fill="FFFFFF"/>
          </w:tcPr>
          <w:p w14:paraId="6BF8384C"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Hydraulic lines inspected daily; defective hoses removed from service; maintenance by competent engineer; spill kits available; isolation before maintenance.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933F88" w:rsidRPr="00933F88" w14:paraId="14F4E628" w14:textId="77777777" w:rsidTr="00933F88">
        <w:trPr>
          <w:jc w:val="center"/>
          <w:cantSplit/>
        </w:trPr>
        <w:tc>
          <w:tcPr>
            <w:tcW w:w="1368" w:type="dxa"/>
            <w:shd w:fill="F4F0F7"/>
          </w:tcPr>
          <w:p w14:paraId="4640528C"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Contact with overhead services</w:t>
            </w:r>
          </w:p>
        </w:tc>
        <w:tc>
          <w:tcPr>
            <w:tcW w:w="1080" w:type="dxa"/>
            <w:shd w:fill="F4F0F7"/>
          </w:tcPr>
          <w:p w14:paraId="2CAB9628"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Operator</w:t>
            </w:r>
          </w:p>
        </w:tc>
        <w:tc>
          <w:tcPr>
            <w:tcW w:w="1584" w:type="dxa"/>
            <w:shd w:fill="F4F0F7"/>
          </w:tcPr>
          <w:p w14:paraId="4DAC5971"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Electrocution from boom or machine contact</w:t>
            </w:r>
          </w:p>
        </w:tc>
        <w:tc>
          <w:tcPr>
            <w:tcW w:w="576" w:type="dxa"/>
            <w:shd w:val="clear" w:color="auto" w:fill="F4F0F7"/>
          </w:tcPr>
          <w:p w14:paraId="67F026E1"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3</w:t>
            </w:r>
          </w:p>
        </w:tc>
        <w:tc>
          <w:tcPr>
            <w:tcW w:w="576" w:type="dxa"/>
            <w:shd w:val="clear" w:color="auto" w:fill="F4F0F7" w:themeFill="accent6" w:themeFillTint="33"/>
          </w:tcPr>
          <w:p w14:paraId="031075FC"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5</w:t>
            </w:r>
          </w:p>
        </w:tc>
        <w:tc>
          <w:tcPr>
            <w:tcW w:w="835" w:type="dxa"/>
            <w:shd w:val="clear" w:color="auto" w:fill="ED7D31" w:themeFill="accent6" w:themeFillShade="BF"/>
          </w:tcPr>
          <w:p w14:paraId="298AFBC5"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color w:val="FFFFFF"/>
                <w:sz w:val="20"/>
                <w:szCs w:val="20"/>
              </w:rPr>
              <w:t>15</w:t>
            </w:r>
          </w:p>
        </w:tc>
        <w:tc>
          <w:tcPr>
            <w:tcW w:w="4104" w:type="dxa"/>
            <w:shd w:fill="F4F0F7"/>
          </w:tcPr>
          <w:p w14:paraId="53E98963"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Services identified during SSRA; minimum 15m clearance from OHPL unless DNO consent; FISA 804 followed; stop work if services uncertain.</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933F88" w:rsidRPr="00933F88" w14:paraId="05CE6C04" w14:textId="77777777" w:rsidTr="00933F88">
        <w:trPr>
          <w:jc w:val="center"/>
          <w:cantSplit/>
        </w:trPr>
        <w:tc>
          <w:tcPr>
            <w:tcW w:w="1368" w:type="dxa"/>
            <w:shd w:fill="FFFFFF"/>
          </w:tcPr>
          <w:p w14:paraId="122E427C"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Public access into work zone</w:t>
            </w:r>
          </w:p>
        </w:tc>
        <w:tc>
          <w:tcPr>
            <w:tcW w:w="1080" w:type="dxa"/>
            <w:shd w:fill="FFFFFF"/>
          </w:tcPr>
          <w:p w14:paraId="13B93A22"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Public</w:t>
            </w:r>
          </w:p>
        </w:tc>
        <w:tc>
          <w:tcPr>
            <w:tcW w:w="1584" w:type="dxa"/>
            <w:shd w:fill="FFFFFF"/>
          </w:tcPr>
          <w:p w14:paraId="43F7EED6"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Injury from debris or machine movement</w:t>
            </w:r>
          </w:p>
        </w:tc>
        <w:tc>
          <w:tcPr>
            <w:tcW w:w="576" w:type="dxa"/>
            <w:shd w:val="clear" w:color="auto" w:fill="FFFFFF"/>
          </w:tcPr>
          <w:p w14:paraId="19926255"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4</w:t>
            </w:r>
          </w:p>
        </w:tc>
        <w:tc>
          <w:tcPr>
            <w:tcW w:w="576" w:type="dxa"/>
            <w:shd w:val="clear" w:color="auto" w:fill="FFFFFF" w:themeFill="accent6" w:themeFillTint="33"/>
          </w:tcPr>
          <w:p w14:paraId="1FD32183"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5</w:t>
            </w:r>
          </w:p>
        </w:tc>
        <w:tc>
          <w:tcPr>
            <w:tcW w:w="835" w:type="dxa"/>
            <w:shd w:val="clear" w:color="auto" w:fill="FF0000"/>
          </w:tcPr>
          <w:p w14:paraId="01B94EC6"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color w:val="FFFFFF"/>
                <w:sz w:val="20"/>
                <w:szCs w:val="20"/>
              </w:rPr>
              <w:t>20</w:t>
            </w:r>
          </w:p>
        </w:tc>
        <w:tc>
          <w:tcPr>
            <w:tcW w:w="4104" w:type="dxa"/>
            <w:shd w:fill="FFFFFF"/>
          </w:tcPr>
          <w:p w14:paraId="3D0FAD8A"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Barriers and signage in place; banksman assigned; work planned outside peak times where possible; exclusion zone monitored continuously.</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933F88" w:rsidRPr="00933F88" w14:paraId="7DE5DF04" w14:textId="77777777" w:rsidTr="00933F88">
        <w:trPr>
          <w:jc w:val="center"/>
          <w:cantSplit/>
        </w:trPr>
        <w:tc>
          <w:tcPr>
            <w:tcW w:w="1368" w:type="dxa"/>
            <w:shd w:fill="F4F0F7"/>
          </w:tcPr>
          <w:p w14:paraId="5B1299A3"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lastRenderedPageBreak/>
              <w:t>Transport and road movement</w:t>
            </w:r>
          </w:p>
        </w:tc>
        <w:tc>
          <w:tcPr>
            <w:tcW w:w="1080" w:type="dxa"/>
            <w:shd w:fill="F4F0F7"/>
          </w:tcPr>
          <w:p w14:paraId="739CE74A"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Operator, public</w:t>
            </w:r>
          </w:p>
        </w:tc>
        <w:tc>
          <w:tcPr>
            <w:tcW w:w="1584" w:type="dxa"/>
            <w:shd w:fill="F4F0F7"/>
          </w:tcPr>
          <w:p w14:paraId="6562035B"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Road traffic collision during transit</w:t>
            </w:r>
          </w:p>
        </w:tc>
        <w:tc>
          <w:tcPr>
            <w:tcW w:w="576" w:type="dxa"/>
            <w:shd w:val="clear" w:color="auto" w:fill="F4F0F7"/>
          </w:tcPr>
          <w:p w14:paraId="7C27B576"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3</w:t>
            </w:r>
          </w:p>
        </w:tc>
        <w:tc>
          <w:tcPr>
            <w:tcW w:w="576" w:type="dxa"/>
            <w:shd w:val="clear" w:color="auto" w:fill="F4F0F7"/>
          </w:tcPr>
          <w:p w14:paraId="1A69764B"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sz w:val="20"/>
                <w:szCs w:val="20"/>
              </w:rPr>
              <w:t>4</w:t>
            </w:r>
          </w:p>
        </w:tc>
        <w:tc>
          <w:tcPr>
            <w:tcW w:w="835" w:type="dxa"/>
            <w:shd w:val="clear" w:color="auto" w:fill="ED7D31" w:themeFill="accent6" w:themeFillShade="BF"/>
          </w:tcPr>
          <w:p w14:paraId="5AEBC97A" w14:textId="77777777" w:rsidR="00681A72" w:rsidRPr="00933F88" w:rsidRDefault="00000000">
            <w:pPr>
              <w:spacing w:after="0" w:line="240" w:lineRule="auto"/>
              <w:jc w:val="center"/>
              <w:rPr>
                <w:rFonts w:ascii="Aptos Display" w:hAnsi="Aptos Display"/>
                <w:sz w:val="20"/>
                <w:szCs w:val="20"/>
              </w:rPr>
            </w:pPr>
            <w:r w:rsidRPr="00933F88">
              <w:rPr>
                <w:rFonts w:ascii="Aptos" w:hAnsi="Aptos" w:eastAsia="Aptos" w:cs="Aptos"/>
                <w:color w:val="FFFFFF"/>
                <w:sz w:val="20"/>
                <w:szCs w:val="20"/>
              </w:rPr>
              <w:t>12</w:t>
            </w:r>
          </w:p>
        </w:tc>
        <w:tc>
          <w:tcPr>
            <w:tcW w:w="4104" w:type="dxa"/>
            <w:shd w:fill="F4F0F7"/>
          </w:tcPr>
          <w:p w14:paraId="229D29EF" w14:textId="77777777" w:rsidR="00681A72" w:rsidRPr="00933F88" w:rsidRDefault="00000000">
            <w:pPr>
              <w:spacing w:after="0" w:line="240" w:lineRule="auto"/>
              <w:rPr>
                <w:rFonts w:ascii="Aptos Display" w:hAnsi="Aptos Display"/>
                <w:sz w:val="20"/>
                <w:szCs w:val="20"/>
              </w:rPr>
            </w:pPr>
            <w:r w:rsidRPr="00933F88">
              <w:rPr>
                <w:rFonts w:ascii="Aptos" w:hAnsi="Aptos" w:eastAsia="Aptos" w:cs="Aptos"/>
                <w:sz w:val="20"/>
                <w:szCs w:val="20"/>
              </w:rPr>
              <w:t>Operator holds appropriate licence; load secured; beacons and signage used; Chapter 8 compliance where required; daily vehicle checks completed.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bl>
    <w:p w14:paraId="76A99EE7" w14:textId="77777777" w:rsidR="00681A72" w:rsidRPr="00933F88" w:rsidRDefault="00000000">
      <w:pPr>
        <w:pStyle w:val="Heading2"/>
        <w:rPr>
          <w:rFonts w:ascii="Aptos Display" w:hAnsi="Aptos Display"/>
          <w:color w:val="auto"/>
          <w:sz w:val="20"/>
          <w:szCs w:val="20"/>
        </w:rPr>
      </w:pPr>
      <w:r w:rsidRPr="00933F88">
        <w:rPr>
          <w:rFonts w:ascii="Aptos" w:hAnsi="Aptos" w:eastAsia="Aptos" w:cs="Aptos"/>
          <w:color w:val="auto"/>
          <w:sz w:val="20"/>
          <w:szCs w:val="20"/>
        </w:rPr>
        <w:t>9. Review &amp; Monitoring</w:t>
      </w:r>
    </w:p>
    <w:p w14:paraId="6441FDD3" w14:textId="77777777" w:rsidR="00681A72" w:rsidRPr="00933F88" w:rsidRDefault="00000000">
      <w:pPr>
        <w:rPr>
          <w:rFonts w:ascii="Aptos Display" w:hAnsi="Aptos Display"/>
          <w:sz w:val="20"/>
          <w:szCs w:val="20"/>
        </w:rPr>
      </w:pPr>
      <w:r w:rsidRPr="00933F88">
        <w:rPr>
          <w:rFonts w:ascii="Aptos" w:hAnsi="Aptos" w:eastAsia="Aptos" w:cs="Aptos"/>
          <w:sz w:val="20"/>
          <w:szCs w:val="20"/>
        </w:rPr>
        <w:t>This GRA must be reviewed annually, following any incident, introduction of new equipment, change in legislation or audit recommendation.</w:t>
      </w:r>
    </w:p>
    <w:p w14:paraId="1178A111" w14:textId="7D317BFA" w:rsidR="00681A72" w:rsidRPr="00933F88" w:rsidRDefault="00000000" w:rsidP="00933F88">
      <w:pPr>
        <w:rPr>
          <w:rFonts w:ascii="Aptos Display" w:hAnsi="Aptos Display"/>
          <w:sz w:val="20"/>
          <w:szCs w:val="20"/>
        </w:rPr>
      </w:pPr>
      <w:r w:rsidRPr="00933F88">
        <w:rPr>
          <w:rFonts w:ascii="Aptos" w:hAnsi="Aptos" w:eastAsia="Aptos" w:cs="Aptos"/>
          <w:sz w:val="20"/>
          <w:szCs w:val="20"/>
        </w:rPr>
        <w:br/>
      </w:r>
    </w:p>
    <w:sectPr w:rsidR="00681A72" w:rsidRPr="00933F88" w:rsidSect="00933F88">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902C19" w14:textId="77777777" w:rsidR="007B5CF2" w:rsidRDefault="007B5CF2" w:rsidP="00933F88">
      <w:pPr>
        <w:spacing w:after="0" w:line="240" w:lineRule="auto"/>
      </w:pPr>
      <w:r>
        <w:separator/>
      </w:r>
    </w:p>
  </w:endnote>
  <w:endnote w:type="continuationSeparator" w:id="0">
    <w:p w14:paraId="5A4A52D1" w14:textId="77777777" w:rsidR="007B5CF2" w:rsidRDefault="007B5CF2" w:rsidP="00933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1907C" w14:textId="77777777" w:rsidR="00933F88" w:rsidRPr="00933F88" w:rsidRDefault="00933F88" w:rsidP="00933F88">
    <w:pPr>
      <w:spacing w:after="0"/>
      <w:rPr>
        <w:rFonts w:ascii="Aptos Display" w:hAnsi="Aptos Display"/>
        <w:color w:val="FF0000"/>
        <w:sz w:val="16"/>
        <w:szCs w:val="16"/>
      </w:rPr>
    </w:pPr>
    <w:r w:rsidRPr="00933F88">
      <w:rPr>
        <w:rFonts w:ascii="Aptos" w:hAnsi="Aptos" w:eastAsia="Aptos" w:cs="Aptos"/>
        <w:color w:val="FF0000"/>
        <w:sz w:val="20"/>
        <w:szCs w:val="16"/>
      </w:rPr>
      <w:t>[COMPANY NAME] – GRA Mulching Operations - ARB-GRA-14</w:t>
    </w:r>
  </w:p>
  <w:p w14:paraId="3990CD1F" w14:textId="77777777" w:rsidR="00933F88" w:rsidRPr="00933F88" w:rsidRDefault="00933F88" w:rsidP="00933F88">
    <w:pPr>
      <w:spacing w:after="0"/>
      <w:rPr>
        <w:rFonts w:ascii="Aptos Display" w:hAnsi="Aptos Display"/>
        <w:color w:val="FF0000"/>
        <w:sz w:val="16"/>
        <w:szCs w:val="16"/>
      </w:rPr>
    </w:pPr>
    <w:r w:rsidRPr="00933F88">
      <w:rPr>
        <w:rFonts w:ascii="Aptos" w:hAnsi="Aptos" w:eastAsia="Aptos" w:cs="Aptos"/>
        <w:color w:val="FF0000"/>
        <w:sz w:val="20"/>
        <w:szCs w:val="16"/>
      </w:rPr>
      <w:t>Version: [</w:t>
    </w:r>
    <w:proofErr w:type="gramStart"/>
    <w:r w:rsidRPr="00933F88">
      <w:rPr>
        <w:rFonts w:ascii="Aptos" w:hAnsi="Aptos" w:eastAsia="Aptos" w:cs="Aptos"/>
        <w:color w:val="FF0000"/>
        <w:sz w:val="20"/>
        <w:szCs w:val="16"/>
      </w:rPr>
      <w:t xml:space="preserve">VERSION]   </w:t>
    </w:r>
    <w:proofErr w:type="gramEnd"/>
    <w:r w:rsidRPr="00933F88">
      <w:rPr>
        <w:rFonts w:ascii="Aptos" w:hAnsi="Aptos" w:eastAsia="Aptos" w:cs="Aptos"/>
        <w:color w:val="FF0000"/>
        <w:sz w:val="20"/>
        <w:szCs w:val="16"/>
      </w:rPr>
      <w:t>Date Issued: [DATE]   Review Date: [REVIEW DATE]</w:t>
    </w:r>
  </w:p>
  <w:p w14:paraId="365CE450" w14:textId="18079B55" w:rsidR="00933F88" w:rsidRPr="00933F88" w:rsidRDefault="00933F88" w:rsidP="00933F88">
    <w:pPr>
      <w:spacing w:after="0"/>
      <w:rPr>
        <w:rFonts w:ascii="Aptos Display" w:hAnsi="Aptos Display"/>
        <w:color w:val="FF0000"/>
        <w:sz w:val="16"/>
        <w:szCs w:val="16"/>
      </w:rPr>
    </w:pPr>
    <w:r w:rsidRPr="00933F88">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11FB53" w14:textId="77777777" w:rsidR="007B5CF2" w:rsidRDefault="007B5CF2" w:rsidP="00933F88">
      <w:pPr>
        <w:spacing w:after="0" w:line="240" w:lineRule="auto"/>
      </w:pPr>
      <w:r>
        <w:separator/>
      </w:r>
    </w:p>
  </w:footnote>
  <w:footnote w:type="continuationSeparator" w:id="0">
    <w:p w14:paraId="3586B4EB" w14:textId="77777777" w:rsidR="007B5CF2" w:rsidRDefault="007B5CF2" w:rsidP="00933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E0F72" w14:textId="27BDD223" w:rsidR="00933F88" w:rsidRPr="00933F88" w:rsidRDefault="00933F88" w:rsidP="00933F88">
    <w:pPr>
      <w:rPr>
        <w:rFonts w:ascii="Aptos Display" w:hAnsi="Aptos Display"/>
        <w:sz w:val="20"/>
        <w:szCs w:val="20"/>
      </w:rPr>
    </w:pPr>
    <w:r w:rsidRPr="00933F88">
      <w:rPr>
        <w:rFonts w:ascii="Aptos" w:hAnsi="Aptos" w:eastAsia="Aptos" w:cs="Aptos"/>
        <w:color w:val="FF0000"/>
        <w:sz w:val="20"/>
        <w:szCs w:val="20"/>
      </w:rPr>
      <w:t>LOGO [Insert Company Logo Here]</w:t>
    </w:r>
    <w:r w:rsidRPr="00933F88">
      <w:rPr>
        <w:rFonts w:ascii="Aptos" w:hAnsi="Aptos" w:eastAsia="Aptos" w:cs="Aptos"/>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5764081">
    <w:abstractNumId w:val="8"/>
  </w:num>
  <w:num w:numId="2" w16cid:durableId="997269504">
    <w:abstractNumId w:val="6"/>
  </w:num>
  <w:num w:numId="3" w16cid:durableId="1354460904">
    <w:abstractNumId w:val="5"/>
  </w:num>
  <w:num w:numId="4" w16cid:durableId="162477085">
    <w:abstractNumId w:val="4"/>
  </w:num>
  <w:num w:numId="5" w16cid:durableId="1071926957">
    <w:abstractNumId w:val="7"/>
  </w:num>
  <w:num w:numId="6" w16cid:durableId="565383750">
    <w:abstractNumId w:val="3"/>
  </w:num>
  <w:num w:numId="7" w16cid:durableId="1959480934">
    <w:abstractNumId w:val="2"/>
  </w:num>
  <w:num w:numId="8" w16cid:durableId="1626236776">
    <w:abstractNumId w:val="1"/>
  </w:num>
  <w:num w:numId="9" w16cid:durableId="1749034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28"/>
    <w:rsid w:val="00681A72"/>
    <w:rsid w:val="00732F14"/>
    <w:rsid w:val="007B5CF2"/>
    <w:rsid w:val="00933F8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50D534"/>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901</Words>
  <Characters>5138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3</cp:revision>
  <dcterms:created xsi:type="dcterms:W3CDTF">2026-02-14T14:32:00Z</dcterms:created>
  <dcterms:modified xsi:type="dcterms:W3CDTF">2026-02-14T14:33:00Z</dcterms:modified>
  <cp:category/>
</cp:coreProperties>
</file>