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08EE6" w14:textId="3F623DFB" w:rsidR="0089126F" w:rsidRPr="00715BFA" w:rsidRDefault="00000000" w:rsidP="00715BFA">
      <w:pPr>
        <w:spacing w:after="0"/>
        <w:jc w:val="center"/>
        <w:rPr>
          <w:rFonts w:ascii="Aptos Display" w:hAnsi="Aptos Display"/>
          <w:b/>
          <w:bCs/>
          <w:color w:val="FF0000"/>
          <w:sz w:val="20"/>
          <w:szCs w:val="20"/>
          <w:u w:val="single"/>
        </w:rPr>
      </w:pPr>
      <w:r w:rsidRPr="00715BFA">
        <w:rPr>
          <w:rFonts w:ascii="Aptos" w:hAnsi="Aptos" w:eastAsia="Aptos" w:cs="Aptos"/>
          <w:b/>
          <w:bCs/>
          <w:color w:val="FF0000"/>
          <w:sz w:val="20"/>
          <w:szCs w:val="20"/>
          <w:u w:val="single"/>
        </w:rPr>
        <w:t>COMPANY</w:t>
      </w:r>
    </w:p>
    <w:p w14:paraId="7606EC43" w14:textId="77777777" w:rsidR="0089126F" w:rsidRPr="00715BFA" w:rsidRDefault="00000000" w:rsidP="00715BFA">
      <w:pPr>
        <w:spacing w:after="0"/>
        <w:jc w:val="center"/>
        <w:rPr>
          <w:rFonts w:ascii="Aptos Display" w:hAnsi="Aptos Display"/>
          <w:sz w:val="20"/>
          <w:szCs w:val="20"/>
          <w:u w:val="single"/>
        </w:rPr>
      </w:pPr>
      <w:r w:rsidRPr="00715BFA">
        <w:rPr>
          <w:rFonts w:ascii="Aptos" w:hAnsi="Aptos" w:eastAsia="Aptos" w:cs="Aptos"/>
          <w:sz w:val="20"/>
          <w:szCs w:val="20"/>
          <w:u w:val="single"/>
        </w:rPr>
        <w:t>GENERIC RISK ASSESSMENT (GRA) – OFFICE &amp; YARD OPERATIONS</w:t>
      </w:r>
      <w:r w:rsidRPr="00715BFA">
        <w:rPr>
          <w:rFonts w:ascii="Aptos" w:hAnsi="Aptos" w:eastAsia="Aptos" w:cs="Aptos"/>
          <w:sz w:val="20"/>
          <w:szCs w:val="20"/>
          <w:u w:val="single"/>
        </w:rPr>
        <w:br/>
      </w:r>
    </w:p>
    <w:p w14:paraId="02A2B6F6" w14:textId="77777777" w:rsidR="0089126F" w:rsidRPr="00715BFA" w:rsidRDefault="00000000">
      <w:pPr>
        <w:rPr>
          <w:rFonts w:ascii="Aptos Display" w:hAnsi="Aptos Display"/>
          <w:sz w:val="20"/>
          <w:szCs w:val="20"/>
        </w:rPr>
      </w:pPr>
      <w:r w:rsidRPr="00715BFA">
        <w:rPr>
          <w:rFonts w:ascii="Aptos" w:hAnsi="Aptos" w:eastAsia="Aptos" w:cs="Aptos"/>
          <w:sz w:val="20"/>
          <w:szCs w:val="20"/>
        </w:rPr>
        <w:t>Activity / Task: General office administration, workshop activities and yard operations including storage, vehicle movements and welfare facilities</w:t>
      </w:r>
    </w:p>
    <w:p w14:paraId="3751AF25" w14:textId="77777777" w:rsidR="0089126F" w:rsidRPr="00715BFA" w:rsidRDefault="00000000">
      <w:pPr>
        <w:rPr>
          <w:rFonts w:ascii="Aptos Display" w:hAnsi="Aptos Display"/>
          <w:sz w:val="20"/>
          <w:szCs w:val="20"/>
        </w:rPr>
      </w:pPr>
      <w:r w:rsidRPr="00715BFA">
        <w:rPr>
          <w:rFonts w:ascii="Aptos" w:hAnsi="Aptos" w:eastAsia="Aptos" w:cs="Aptos"/>
          <w:sz w:val="20"/>
          <w:szCs w:val="20"/>
        </w:rPr>
        <w:t>Document Ref: ARB-GRA-16</w:t>
      </w:r>
    </w:p>
    <w:p w14:paraId="53B8E5A0" w14:textId="77777777" w:rsidR="0089126F" w:rsidRPr="00715BFA" w:rsidRDefault="00000000">
      <w:pPr>
        <w:rPr>
          <w:rFonts w:ascii="Aptos Display" w:hAnsi="Aptos Display"/>
          <w:sz w:val="20"/>
          <w:szCs w:val="20"/>
        </w:rPr>
      </w:pPr>
      <w:r w:rsidRPr="00715BFA">
        <w:rPr>
          <w:rFonts w:ascii="Aptos" w:hAnsi="Aptos" w:eastAsia="Aptos" w:cs="Aptos"/>
          <w:sz w:val="20"/>
          <w:szCs w:val="20"/>
        </w:rPr>
        <w:t>Version: ____    Date Issued: ____    Review Date: ____</w:t>
      </w:r>
    </w:p>
    <w:p w14:paraId="774E0B08" w14:textId="77777777" w:rsidR="0089126F" w:rsidRPr="00715BFA" w:rsidRDefault="00000000">
      <w:pPr>
        <w:rPr>
          <w:rFonts w:ascii="Aptos Display" w:hAnsi="Aptos Display"/>
          <w:sz w:val="20"/>
          <w:szCs w:val="20"/>
        </w:rPr>
      </w:pPr>
      <w:r w:rsidRPr="00715BFA">
        <w:rPr>
          <w:rFonts w:ascii="Aptos" w:hAnsi="Aptos" w:eastAsia="Aptos" w:cs="Aptos"/>
          <w:sz w:val="20"/>
          <w:szCs w:val="20"/>
        </w:rPr>
        <w:t>Assessed by: ______________________________</w:t>
      </w:r>
      <w:r w:rsidRPr="00715BFA">
        <w:rPr>
          <w:rFonts w:ascii="Aptos" w:hAnsi="Aptos" w:eastAsia="Aptos" w:cs="Aptos"/>
          <w:sz w:val="20"/>
          <w:szCs w:val="20"/>
        </w:rPr>
        <w:br/>
      </w:r>
    </w:p>
    <w:p w14:paraId="080A1EEE" w14:textId="77777777" w:rsidR="0089126F" w:rsidRPr="00715BFA" w:rsidRDefault="00000000">
      <w:pPr>
        <w:pStyle w:val="Heading2"/>
        <w:rPr>
          <w:rFonts w:ascii="Aptos Display" w:hAnsi="Aptos Display"/>
          <w:color w:val="auto"/>
          <w:sz w:val="20"/>
          <w:szCs w:val="20"/>
        </w:rPr>
      </w:pPr>
      <w:r w:rsidRPr="00715BFA">
        <w:rPr>
          <w:rFonts w:ascii="Aptos" w:hAnsi="Aptos" w:eastAsia="Aptos" w:cs="Aptos"/>
          <w:color w:val="auto"/>
          <w:sz w:val="20"/>
          <w:szCs w:val="20"/>
        </w:rPr>
        <w:t>1. Scope of Risk Assessment</w:t>
      </w:r>
    </w:p>
    <w:p w14:paraId="07514F08" w14:textId="77777777" w:rsidR="0089126F" w:rsidRPr="00715BFA" w:rsidRDefault="00000000">
      <w:pPr>
        <w:rPr>
          <w:rFonts w:ascii="Aptos Display" w:hAnsi="Aptos Display"/>
          <w:sz w:val="20"/>
          <w:szCs w:val="20"/>
        </w:rPr>
      </w:pPr>
      <w:r w:rsidRPr="00715BFA">
        <w:rPr>
          <w:rFonts w:ascii="Aptos" w:hAnsi="Aptos" w:eastAsia="Aptos" w:cs="Aptos"/>
          <w:sz w:val="20"/>
          <w:szCs w:val="20"/>
        </w:rPr>
        <w:t>This Generic Risk Assessment (GRA) covers foreseeable hazards within office, workshop and yard environments, including fire safety, welfare facilities, electrical safety, storage, vehicle movements, manual handling and general workplace safety. This document must be read alongside the Fire Risk Assessment and any relevant task-specific GRAs.</w:t>
      </w:r>
    </w:p>
    <w:p w14:paraId="55518CB8" w14:textId="77777777" w:rsidR="0089126F" w:rsidRPr="00715BFA" w:rsidRDefault="00000000">
      <w:pPr>
        <w:pStyle w:val="Heading2"/>
        <w:rPr>
          <w:rFonts w:ascii="Aptos Display" w:hAnsi="Aptos Display"/>
          <w:color w:val="auto"/>
          <w:sz w:val="20"/>
          <w:szCs w:val="20"/>
        </w:rPr>
      </w:pPr>
      <w:r w:rsidRPr="00715BFA">
        <w:rPr>
          <w:rFonts w:ascii="Aptos" w:hAnsi="Aptos" w:eastAsia="Aptos" w:cs="Aptos"/>
          <w:color w:val="auto"/>
          <w:sz w:val="20"/>
          <w:szCs w:val="20"/>
        </w:rPr>
        <w:t>2. Responsibilities</w:t>
      </w:r>
    </w:p>
    <w:p w14:paraId="34904C21" w14:textId="77777777" w:rsidR="0089126F" w:rsidRPr="00715BFA" w:rsidRDefault="00000000">
      <w:pPr>
        <w:rPr>
          <w:rFonts w:ascii="Aptos Display" w:hAnsi="Aptos Display"/>
          <w:sz w:val="20"/>
          <w:szCs w:val="20"/>
        </w:rPr>
      </w:pPr>
      <w:r w:rsidRPr="00715BFA">
        <w:rPr>
          <w:rFonts w:ascii="Aptos" w:hAnsi="Aptos" w:eastAsia="Aptos" w:cs="Aptos"/>
          <w:sz w:val="20"/>
          <w:szCs w:val="20"/>
        </w:rPr>
        <w:t>Management must ensure compliance with relevant health and safety legislation, maintain safe premises, provide adequate welfare facilities, complete statutory inspections and ensure suitable supervision.</w:t>
      </w:r>
    </w:p>
    <w:p w14:paraId="1EC56D4D" w14:textId="77777777" w:rsidR="0089126F" w:rsidRPr="00715BFA" w:rsidRDefault="00000000">
      <w:pPr>
        <w:rPr>
          <w:rFonts w:ascii="Aptos Display" w:hAnsi="Aptos Display"/>
          <w:sz w:val="20"/>
          <w:szCs w:val="20"/>
        </w:rPr>
      </w:pPr>
      <w:r w:rsidRPr="00715BFA">
        <w:rPr>
          <w:rFonts w:ascii="Aptos" w:hAnsi="Aptos" w:eastAsia="Aptos" w:cs="Aptos"/>
          <w:sz w:val="20"/>
          <w:szCs w:val="20"/>
        </w:rPr>
        <w:t>Team Leaders are responsible for maintaining housekeeping standards, monitoring yard vehicle movements, and ensuring safe storage of materials and equipment.</w:t>
      </w:r>
    </w:p>
    <w:p w14:paraId="16FED840" w14:textId="77777777" w:rsidR="0089126F" w:rsidRPr="00715BFA" w:rsidRDefault="00000000">
      <w:pPr>
        <w:rPr>
          <w:rFonts w:ascii="Aptos Display" w:hAnsi="Aptos Display"/>
          <w:sz w:val="20"/>
          <w:szCs w:val="20"/>
        </w:rPr>
      </w:pPr>
      <w:r w:rsidRPr="00715BFA">
        <w:rPr>
          <w:rFonts w:ascii="Aptos" w:hAnsi="Aptos" w:eastAsia="Aptos" w:cs="Aptos"/>
          <w:sz w:val="20"/>
          <w:szCs w:val="20"/>
        </w:rPr>
        <w:t>Employees must follow safe working procedures, report hazards or defects immediately and cooperate with control measures.</w:t>
      </w:r>
    </w:p>
    <w:p w14:paraId="49BAC858" w14:textId="77777777" w:rsidR="0089126F" w:rsidRPr="00715BFA" w:rsidRDefault="00000000">
      <w:pPr>
        <w:pStyle w:val="Heading2"/>
        <w:rPr>
          <w:rFonts w:ascii="Aptos Display" w:hAnsi="Aptos Display"/>
          <w:color w:val="auto"/>
          <w:sz w:val="20"/>
          <w:szCs w:val="20"/>
        </w:rPr>
      </w:pPr>
      <w:r w:rsidRPr="00715BFA">
        <w:rPr>
          <w:rFonts w:ascii="Aptos" w:hAnsi="Aptos" w:eastAsia="Aptos" w:cs="Aptos"/>
          <w:color w:val="auto"/>
          <w:sz w:val="20"/>
          <w:szCs w:val="20"/>
        </w:rPr>
        <w:t>3. Persons at Risk</w:t>
      </w:r>
    </w:p>
    <w:p w14:paraId="1DA4C18C" w14:textId="77777777" w:rsidR="0089126F" w:rsidRPr="00715BFA" w:rsidRDefault="00000000">
      <w:pPr>
        <w:rPr>
          <w:rFonts w:ascii="Aptos Display" w:hAnsi="Aptos Display"/>
          <w:sz w:val="20"/>
          <w:szCs w:val="20"/>
        </w:rPr>
      </w:pPr>
      <w:r w:rsidRPr="00715BFA">
        <w:rPr>
          <w:rFonts w:ascii="Aptos" w:hAnsi="Aptos" w:cs="Aptos" w:eastAsia="Aptos"/>
          <w:sz w:val="20"/>
          <w:szCs w:val="20"/>
        </w:rPr>
        <w:t>☒</w:t>
      </w:r>
      <w:r w:rsidRPr="00715BFA">
        <w:rPr>
          <w:rFonts w:ascii="Aptos" w:hAnsi="Aptos" w:eastAsia="Aptos" w:cs="Aptos"/>
          <w:sz w:val="20"/>
          <w:szCs w:val="20"/>
        </w:rPr>
        <w:t xml:space="preserve"> Employees    </w:t>
      </w:r>
      <w:r w:rsidRPr="00715BFA">
        <w:rPr>
          <w:rFonts w:ascii="Aptos" w:hAnsi="Aptos" w:cs="Aptos" w:eastAsia="Aptos"/>
          <w:sz w:val="20"/>
          <w:szCs w:val="20"/>
        </w:rPr>
        <w:t>☒</w:t>
      </w:r>
      <w:r w:rsidRPr="00715BFA">
        <w:rPr>
          <w:rFonts w:ascii="Aptos" w:hAnsi="Aptos" w:eastAsia="Aptos" w:cs="Aptos"/>
          <w:sz w:val="20"/>
          <w:szCs w:val="20"/>
        </w:rPr>
        <w:t xml:space="preserve"> Contractors    </w:t>
      </w:r>
      <w:r w:rsidRPr="00715BFA">
        <w:rPr>
          <w:rFonts w:ascii="Aptos" w:hAnsi="Aptos" w:cs="Aptos" w:eastAsia="Aptos"/>
          <w:sz w:val="20"/>
          <w:szCs w:val="20"/>
        </w:rPr>
        <w:t>☒</w:t>
      </w:r>
      <w:r w:rsidRPr="00715BFA">
        <w:rPr>
          <w:rFonts w:ascii="Aptos" w:hAnsi="Aptos" w:eastAsia="Aptos" w:cs="Aptos"/>
          <w:sz w:val="20"/>
          <w:szCs w:val="20"/>
        </w:rPr>
        <w:t xml:space="preserve"> Visitors    </w:t>
      </w:r>
      <w:r w:rsidRPr="00715BFA">
        <w:rPr>
          <w:rFonts w:ascii="Aptos" w:hAnsi="Aptos" w:cs="Aptos" w:eastAsia="Aptos"/>
          <w:sz w:val="20"/>
          <w:szCs w:val="20"/>
        </w:rPr>
        <w:t>☒</w:t>
      </w:r>
      <w:r w:rsidRPr="00715BFA">
        <w:rPr>
          <w:rFonts w:ascii="Aptos" w:hAnsi="Aptos" w:eastAsia="Aptos" w:cs="Aptos"/>
          <w:sz w:val="20"/>
          <w:szCs w:val="20"/>
        </w:rPr>
        <w:t xml:space="preserve"> Members of the Public (where applicable)</w:t>
      </w:r>
    </w:p>
    <w:p w14:paraId="54A1C8B6" w14:textId="77777777" w:rsidR="0089126F" w:rsidRPr="00715BFA" w:rsidRDefault="00000000">
      <w:pPr>
        <w:pStyle w:val="Heading2"/>
        <w:rPr>
          <w:rFonts w:ascii="Aptos Display" w:hAnsi="Aptos Display"/>
          <w:color w:val="auto"/>
          <w:sz w:val="20"/>
          <w:szCs w:val="20"/>
        </w:rPr>
      </w:pPr>
      <w:r w:rsidRPr="00715BFA">
        <w:rPr>
          <w:rFonts w:ascii="Aptos" w:hAnsi="Aptos" w:eastAsia="Aptos" w:cs="Aptos"/>
          <w:color w:val="auto"/>
          <w:sz w:val="20"/>
          <w:szCs w:val="20"/>
        </w:rPr>
        <w:t>4. PPE Requirements</w:t>
      </w:r>
    </w:p>
    <w:p w14:paraId="5D9DD870" w14:textId="77777777" w:rsidR="0089126F" w:rsidRPr="00715BFA" w:rsidRDefault="00000000">
      <w:pPr>
        <w:rPr>
          <w:rFonts w:ascii="Aptos Display" w:hAnsi="Aptos Display"/>
          <w:sz w:val="20"/>
          <w:szCs w:val="20"/>
        </w:rPr>
      </w:pPr>
      <w:r w:rsidRPr="00715BFA">
        <w:rPr>
          <w:rFonts w:ascii="Aptos" w:hAnsi="Aptos" w:eastAsia="Aptos" w:cs="Aptos"/>
          <w:sz w:val="20"/>
          <w:szCs w:val="20"/>
        </w:rPr>
        <w:t>Office: No specific PPE required unless undertaking task-specific activities. Yard/Workshop: Safety footwear (EN ISO 20345), high visibility clothing where vehicle movements occur, gloves and eye protection where required.</w:t>
      </w:r>
    </w:p>
    <w:p w14:paraId="0B85373A" w14:textId="77777777" w:rsidR="0089126F" w:rsidRPr="00715BFA" w:rsidRDefault="00000000">
      <w:pPr>
        <w:pStyle w:val="Heading2"/>
        <w:rPr>
          <w:rFonts w:ascii="Aptos Display" w:hAnsi="Aptos Display"/>
          <w:color w:val="auto"/>
          <w:sz w:val="20"/>
          <w:szCs w:val="20"/>
        </w:rPr>
      </w:pPr>
      <w:r w:rsidRPr="00715BFA">
        <w:rPr>
          <w:rFonts w:ascii="Aptos" w:hAnsi="Aptos" w:eastAsia="Aptos" w:cs="Aptos"/>
          <w:color w:val="auto"/>
          <w:sz w:val="20"/>
          <w:szCs w:val="20"/>
        </w:rPr>
        <w:t>5. Emergency Arrangements</w:t>
      </w:r>
    </w:p>
    <w:p w14:paraId="10A46D30" w14:textId="77777777" w:rsidR="0089126F" w:rsidRPr="00715BFA" w:rsidRDefault="00000000">
      <w:pPr>
        <w:rPr>
          <w:rFonts w:ascii="Aptos Display" w:hAnsi="Aptos Display"/>
          <w:sz w:val="20"/>
          <w:szCs w:val="20"/>
        </w:rPr>
      </w:pPr>
      <w:r w:rsidRPr="00715BFA">
        <w:rPr>
          <w:rFonts w:ascii="Aptos" w:hAnsi="Aptos" w:eastAsia="Aptos" w:cs="Aptos"/>
          <w:sz w:val="20"/>
          <w:szCs w:val="20"/>
        </w:rPr>
        <w:t>Emergency procedures must align with the Fire Risk Assessment. Fire exits must be clearly marked and unobstructed. Fire extinguishers must be serviced annually. A designated muster point must be identified. First aid kits and eye wash stations must be available. Emergency contact details and nearest A&amp;E must be displayed.</w:t>
      </w:r>
    </w:p>
    <w:p w14:paraId="0EFD77FF" w14:textId="77777777" w:rsidR="0089126F" w:rsidRPr="00715BFA" w:rsidRDefault="00000000">
      <w:pPr>
        <w:pStyle w:val="Heading2"/>
        <w:rPr>
          <w:rFonts w:ascii="Aptos Display" w:hAnsi="Aptos Display"/>
          <w:color w:val="auto"/>
          <w:sz w:val="20"/>
          <w:szCs w:val="20"/>
        </w:rPr>
      </w:pPr>
      <w:r w:rsidRPr="00715BFA">
        <w:rPr>
          <w:rFonts w:ascii="Aptos" w:hAnsi="Aptos" w:eastAsia="Aptos" w:cs="Aptos"/>
          <w:color w:val="auto"/>
          <w:sz w:val="20"/>
          <w:szCs w:val="20"/>
        </w:rPr>
        <w:t>6. Risk Matrix &amp; Scoring</w:t>
      </w:r>
    </w:p>
    <w:p w14:paraId="16ADC354" w14:textId="77777777" w:rsidR="00715BFA" w:rsidRPr="00216D93" w:rsidRDefault="00715BFA" w:rsidP="00715BFA">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715BFA" w:rsidRPr="00216D93" w14:paraId="1A1181F4" w14:textId="77777777" w:rsidTr="00FD207C">
        <w:tc>
          <w:tcPr>
            <w:tcW w:w="2738" w:type="dxa"/>
            <w:shd w:val="clear" w:color="auto" w:fill="BFBFBF" w:themeFill="background1" w:themeFillShade="BF"/>
          </w:tcPr>
          <w:p w14:paraId="232B30F4"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4B01C666"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1E251504"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0FA40BC1"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2363A1AA"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403DB33A"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5 Very Likely</w:t>
            </w:r>
          </w:p>
        </w:tc>
      </w:tr>
      <w:tr w:rsidR="00715BFA" w:rsidRPr="00216D93" w14:paraId="419BBDDA" w14:textId="77777777" w:rsidTr="00FD207C">
        <w:tc>
          <w:tcPr>
            <w:tcW w:w="2738" w:type="dxa"/>
          </w:tcPr>
          <w:p w14:paraId="2CB324DD"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6F9A071A"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030F61F7"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002DFB67"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7F125A82"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7E2737FC"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5</w:t>
            </w:r>
          </w:p>
        </w:tc>
      </w:tr>
      <w:tr w:rsidR="00715BFA" w:rsidRPr="00216D93" w14:paraId="61ECB83C" w14:textId="77777777" w:rsidTr="00FD207C">
        <w:tc>
          <w:tcPr>
            <w:tcW w:w="2738" w:type="dxa"/>
          </w:tcPr>
          <w:p w14:paraId="0ECF1F0D"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3AE6FACF"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4A309CCF"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45FC8139"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02F64140"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3C31EA0D"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10</w:t>
            </w:r>
          </w:p>
        </w:tc>
      </w:tr>
      <w:tr w:rsidR="00715BFA" w:rsidRPr="00216D93" w14:paraId="07BEB38E" w14:textId="77777777" w:rsidTr="00FD207C">
        <w:tc>
          <w:tcPr>
            <w:tcW w:w="2738" w:type="dxa"/>
          </w:tcPr>
          <w:p w14:paraId="5164B987"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202E40D1"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2979646C"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310E5C8D"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0F01547C"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4112C28F"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15</w:t>
            </w:r>
          </w:p>
        </w:tc>
      </w:tr>
      <w:tr w:rsidR="00715BFA" w:rsidRPr="00216D93" w14:paraId="63C11196" w14:textId="77777777" w:rsidTr="00FD207C">
        <w:tc>
          <w:tcPr>
            <w:tcW w:w="2738" w:type="dxa"/>
          </w:tcPr>
          <w:p w14:paraId="39FB0CA1"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6F203F3F"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43274E05"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55E8F280"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64AC0CC9"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377377A0"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20</w:t>
            </w:r>
          </w:p>
        </w:tc>
      </w:tr>
      <w:tr w:rsidR="00715BFA" w:rsidRPr="00216D93" w14:paraId="50EB9DE4" w14:textId="77777777" w:rsidTr="00FD207C">
        <w:tc>
          <w:tcPr>
            <w:tcW w:w="2738" w:type="dxa"/>
          </w:tcPr>
          <w:p w14:paraId="00CC86E1"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415F21FB"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79A77585"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285464BB"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48A925B0"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1C179CEB" w14:textId="77777777" w:rsidR="00715BFA" w:rsidRPr="00216D93" w:rsidRDefault="00715BFA" w:rsidP="00FD207C">
            <w:pPr>
              <w:rPr>
                <w:rFonts w:ascii="Aptos Display" w:hAnsi="Aptos Display"/>
                <w:sz w:val="20"/>
                <w:szCs w:val="20"/>
              </w:rPr>
            </w:pPr>
            <w:r w:rsidRPr="00216D93">
              <w:rPr>
                <w:rFonts w:ascii="Aptos" w:hAnsi="Aptos" w:eastAsia="Aptos" w:cs="Aptos"/>
                <w:sz w:val="20"/>
                <w:szCs w:val="20"/>
              </w:rPr>
              <w:t>25</w:t>
            </w:r>
          </w:p>
        </w:tc>
      </w:tr>
    </w:tbl>
    <w:p w14:paraId="7A150858" w14:textId="77777777" w:rsidR="00715BFA" w:rsidRPr="00216D93" w:rsidRDefault="00715BFA" w:rsidP="00715BFA">
      <w:pPr>
        <w:rPr>
          <w:rFonts w:ascii="Aptos Display" w:hAnsi="Aptos Display"/>
          <w:sz w:val="20"/>
          <w:szCs w:val="20"/>
        </w:rPr>
      </w:pPr>
    </w:p>
    <w:p w14:paraId="13EE13FA" w14:textId="77777777" w:rsidR="00715BFA" w:rsidRPr="00216D93" w:rsidRDefault="00715BFA" w:rsidP="00715BFA">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3CAD7E3D" w14:textId="77777777" w:rsidR="0089126F" w:rsidRPr="00715BFA" w:rsidRDefault="00000000">
      <w:pPr>
        <w:pStyle w:val="Heading2"/>
        <w:rPr>
          <w:rFonts w:ascii="Aptos Display" w:hAnsi="Aptos Display"/>
          <w:color w:val="auto"/>
          <w:sz w:val="20"/>
          <w:szCs w:val="20"/>
        </w:rPr>
      </w:pPr>
      <w:r w:rsidRPr="00715BFA">
        <w:rPr>
          <w:rFonts w:ascii="Aptos" w:hAnsi="Aptos" w:eastAsia="Aptos" w:cs="Aptos"/>
          <w:color w:val="auto"/>
          <w:sz w:val="20"/>
          <w:szCs w:val="20"/>
        </w:rPr>
        <w:t>7. Relevant UK Legislation, Guidance &amp; Good Practice</w:t>
      </w:r>
    </w:p>
    <w:p w14:paraId="66D0C126"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Health and Safety at Work etc. Act 1974</w:t>
      </w:r>
    </w:p>
    <w:p w14:paraId="718ECA95"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Management of Health and Safety at Work Regulations 1999</w:t>
      </w:r>
    </w:p>
    <w:p w14:paraId="0DFEB908"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Workplace (Health, Safety and Welfare) Regulations 1992</w:t>
      </w:r>
    </w:p>
    <w:p w14:paraId="000D27F9"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Regulatory Reform (Fire Safety) Order 2005</w:t>
      </w:r>
    </w:p>
    <w:p w14:paraId="13C33A8D"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Provision and Use of Work Equipment Regulations 1998 (PUWER)</w:t>
      </w:r>
    </w:p>
    <w:p w14:paraId="43A9E474"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Manual Handling Operations Regulations 1992 (as amended)</w:t>
      </w:r>
    </w:p>
    <w:p w14:paraId="67AE043C"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Control of Substances Hazardous to Health Regulations 2002 (COSHH)</w:t>
      </w:r>
    </w:p>
    <w:p w14:paraId="19E54E1C"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Electricity at Work Regulations 1989</w:t>
      </w:r>
    </w:p>
    <w:p w14:paraId="0CF2599F"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Reporting of Injuries, Diseases and Dangerous Occurrences Regulations 2013 (RIDDOR)</w:t>
      </w:r>
    </w:p>
    <w:p w14:paraId="4864ED3F" w14:textId="77777777" w:rsidR="0089126F" w:rsidRPr="00715BFA" w:rsidRDefault="00000000" w:rsidP="00715BFA">
      <w:pPr>
        <w:spacing w:after="0"/>
        <w:rPr>
          <w:rFonts w:ascii="Aptos Display" w:hAnsi="Aptos Display"/>
          <w:sz w:val="20"/>
          <w:szCs w:val="20"/>
        </w:rPr>
      </w:pPr>
      <w:r w:rsidRPr="00715BFA">
        <w:rPr>
          <w:rFonts w:ascii="Aptos" w:hAnsi="Aptos" w:eastAsia="Aptos" w:cs="Aptos"/>
          <w:sz w:val="20"/>
          <w:szCs w:val="20"/>
        </w:rPr>
        <w:t>HSE INDG236 – Maintaining Workplace Welfare</w:t>
      </w:r>
    </w:p>
    <w:p w14:paraId="62EE6479" w14:textId="77777777" w:rsidR="0089126F" w:rsidRPr="00715BFA" w:rsidRDefault="00000000">
      <w:pPr>
        <w:pStyle w:val="Heading2"/>
        <w:rPr>
          <w:rFonts w:ascii="Aptos Display" w:hAnsi="Aptos Display"/>
          <w:color w:val="auto"/>
          <w:sz w:val="20"/>
          <w:szCs w:val="20"/>
        </w:rPr>
      </w:pPr>
      <w:r w:rsidRPr="00715BFA">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842"/>
        <w:gridCol w:w="1558"/>
        <w:gridCol w:w="2126"/>
        <w:gridCol w:w="850"/>
        <w:gridCol w:w="907"/>
        <w:gridCol w:w="1081"/>
        <w:gridCol w:w="3252"/>
        <w:gridCol w:w="1334"/>
        <w:gridCol w:w="720"/>
        <w:gridCol w:w="936"/>
      </w:tblGrid>
      <w:tr w:rsidR="00715BFA" w:rsidRPr="00715BFA" w14:paraId="67E43367" w14:textId="77777777" w:rsidTr="00715BFA">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715BFA" w:rsidRPr="00715BFA" w14:paraId="6D3FA028" w14:textId="77777777" w:rsidTr="00715BFA">
        <w:trPr>
          <w:jc w:val="center"/>
          <w:cantSplit/>
        </w:trPr>
        <w:tc>
          <w:tcPr>
            <w:tcW w:w="1368" w:type="dxa"/>
            <w:shd w:fill="FFFFFF"/>
          </w:tcPr>
          <w:p w14:paraId="3894E71C"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Fire and evacuation failure</w:t>
            </w:r>
          </w:p>
        </w:tc>
        <w:tc>
          <w:tcPr>
            <w:tcW w:w="1080" w:type="dxa"/>
            <w:shd w:fill="FFFFFF"/>
          </w:tcPr>
          <w:p w14:paraId="4372FE34"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All occupants</w:t>
            </w:r>
          </w:p>
        </w:tc>
        <w:tc>
          <w:tcPr>
            <w:tcW w:w="1584" w:type="dxa"/>
            <w:shd w:fill="FFFFFF"/>
          </w:tcPr>
          <w:p w14:paraId="2D8EF359"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Injury due to blocked escape routes or inadequate response</w:t>
            </w:r>
          </w:p>
        </w:tc>
        <w:tc>
          <w:tcPr>
            <w:tcW w:w="576" w:type="dxa"/>
            <w:shd w:val="clear" w:color="auto" w:fill="FFFFFF"/>
          </w:tcPr>
          <w:p w14:paraId="601A6ABB"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3</w:t>
            </w:r>
          </w:p>
        </w:tc>
        <w:tc>
          <w:tcPr>
            <w:tcW w:w="576" w:type="dxa"/>
            <w:shd w:val="clear" w:color="auto" w:fill="FFFFFF" w:themeFill="accent6" w:themeFillTint="33"/>
          </w:tcPr>
          <w:p w14:paraId="707D7A1F"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5</w:t>
            </w:r>
          </w:p>
        </w:tc>
        <w:tc>
          <w:tcPr>
            <w:tcW w:w="835" w:type="dxa"/>
            <w:shd w:val="clear" w:color="auto" w:fill="ED7D31" w:themeFill="accent6" w:themeFillShade="BF"/>
          </w:tcPr>
          <w:p w14:paraId="18C2F093"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color w:val="FFFFFF"/>
                <w:sz w:val="20"/>
                <w:szCs w:val="20"/>
              </w:rPr>
              <w:t>15</w:t>
            </w:r>
          </w:p>
        </w:tc>
        <w:tc>
          <w:tcPr>
            <w:tcW w:w="4104" w:type="dxa"/>
            <w:shd w:fill="FFFFFF"/>
          </w:tcPr>
          <w:p w14:paraId="0993EDE1"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Fire Risk Assessment completed and reviewed annually; escape routes kept clear; fire alarm tested weekly; extinguishers serviced annually; evacuation drills conducted; staff trained in procedures.</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715BFA" w:rsidRPr="00715BFA" w14:paraId="1D50D4CE" w14:textId="77777777" w:rsidTr="00715BFA">
        <w:trPr>
          <w:jc w:val="center"/>
          <w:cantSplit/>
        </w:trPr>
        <w:tc>
          <w:tcPr>
            <w:tcW w:w="1368" w:type="dxa"/>
            <w:shd w:fill="F4F0F7"/>
          </w:tcPr>
          <w:p w14:paraId="3CF0221B"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Electrical fault or damaged equipment</w:t>
            </w:r>
          </w:p>
        </w:tc>
        <w:tc>
          <w:tcPr>
            <w:tcW w:w="1080" w:type="dxa"/>
            <w:shd w:fill="F4F0F7"/>
          </w:tcPr>
          <w:p w14:paraId="63593E26"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All occupants</w:t>
            </w:r>
          </w:p>
        </w:tc>
        <w:tc>
          <w:tcPr>
            <w:tcW w:w="1584" w:type="dxa"/>
            <w:shd w:fill="F4F0F7"/>
          </w:tcPr>
          <w:p w14:paraId="71B2178F"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Electric shock or fire</w:t>
            </w:r>
          </w:p>
        </w:tc>
        <w:tc>
          <w:tcPr>
            <w:tcW w:w="576" w:type="dxa"/>
            <w:shd w:val="clear" w:color="auto" w:fill="F4F0F7"/>
          </w:tcPr>
          <w:p w14:paraId="583ECE65"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3</w:t>
            </w:r>
          </w:p>
        </w:tc>
        <w:tc>
          <w:tcPr>
            <w:tcW w:w="576" w:type="dxa"/>
            <w:shd w:val="clear" w:color="auto" w:fill="F4F0F7" w:themeFill="accent6" w:themeFillTint="33"/>
          </w:tcPr>
          <w:p w14:paraId="7C80E5DC"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5</w:t>
            </w:r>
          </w:p>
        </w:tc>
        <w:tc>
          <w:tcPr>
            <w:tcW w:w="835" w:type="dxa"/>
            <w:shd w:val="clear" w:color="auto" w:fill="ED7D31" w:themeFill="accent6" w:themeFillShade="BF"/>
          </w:tcPr>
          <w:p w14:paraId="77FF1BB5"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color w:val="FFFFFF"/>
                <w:sz w:val="20"/>
                <w:szCs w:val="20"/>
              </w:rPr>
              <w:t>15</w:t>
            </w:r>
          </w:p>
        </w:tc>
        <w:tc>
          <w:tcPr>
            <w:tcW w:w="4104" w:type="dxa"/>
            <w:shd w:fill="F4F0F7"/>
          </w:tcPr>
          <w:p w14:paraId="10D6F973"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Fixed wiring inspected periodically; portable appliances subject to PAT testing; defective equipment removed from service; no unauthorised equipment permitted.</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715BFA" w:rsidRPr="00715BFA" w14:paraId="2B5D5D64" w14:textId="77777777" w:rsidTr="00715BFA">
        <w:trPr>
          <w:jc w:val="center"/>
          <w:cantSplit/>
        </w:trPr>
        <w:tc>
          <w:tcPr>
            <w:tcW w:w="1368" w:type="dxa"/>
            <w:shd w:fill="FFFFFF"/>
          </w:tcPr>
          <w:p w14:paraId="410094AA"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Vehicle movement in yard</w:t>
            </w:r>
          </w:p>
        </w:tc>
        <w:tc>
          <w:tcPr>
            <w:tcW w:w="1080" w:type="dxa"/>
            <w:shd w:fill="FFFFFF"/>
          </w:tcPr>
          <w:p w14:paraId="4E540F94"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Employees, visitors</w:t>
            </w:r>
          </w:p>
        </w:tc>
        <w:tc>
          <w:tcPr>
            <w:tcW w:w="1584" w:type="dxa"/>
            <w:shd w:fill="FFFFFF"/>
          </w:tcPr>
          <w:p w14:paraId="09E68818"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Collision or crush injury</w:t>
            </w:r>
          </w:p>
        </w:tc>
        <w:tc>
          <w:tcPr>
            <w:tcW w:w="576" w:type="dxa"/>
            <w:shd w:val="clear" w:color="auto" w:fill="FFFFFF"/>
          </w:tcPr>
          <w:p w14:paraId="6BFFC6B3"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3</w:t>
            </w:r>
          </w:p>
        </w:tc>
        <w:tc>
          <w:tcPr>
            <w:tcW w:w="576" w:type="dxa"/>
            <w:shd w:val="clear" w:color="auto" w:fill="FFFFFF" w:themeFill="accent6" w:themeFillTint="33"/>
          </w:tcPr>
          <w:p w14:paraId="4E76B3E4"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5</w:t>
            </w:r>
          </w:p>
        </w:tc>
        <w:tc>
          <w:tcPr>
            <w:tcW w:w="835" w:type="dxa"/>
            <w:shd w:val="clear" w:color="auto" w:fill="ED7D31" w:themeFill="accent6" w:themeFillShade="BF"/>
          </w:tcPr>
          <w:p w14:paraId="3AE01D33"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color w:val="FFFFFF"/>
                <w:sz w:val="20"/>
                <w:szCs w:val="20"/>
              </w:rPr>
              <w:t>15</w:t>
            </w:r>
          </w:p>
        </w:tc>
        <w:tc>
          <w:tcPr>
            <w:tcW w:w="4104" w:type="dxa"/>
            <w:shd w:fill="FFFFFF"/>
          </w:tcPr>
          <w:p w14:paraId="42CD1288"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Designated vehicle routes; segregated pedestrian walkways; reversing alarms fitted; banksman used where required; speed limits enforced; high visibility clothing worn.</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715BFA" w:rsidRPr="00715BFA" w14:paraId="76EAD51D" w14:textId="77777777" w:rsidTr="00715BFA">
        <w:trPr>
          <w:jc w:val="center"/>
          <w:cantSplit/>
        </w:trPr>
        <w:tc>
          <w:tcPr>
            <w:tcW w:w="1368" w:type="dxa"/>
            <w:shd w:fill="F4F0F7"/>
          </w:tcPr>
          <w:p w14:paraId="37D47EA6"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Slips, trips and falls</w:t>
            </w:r>
          </w:p>
        </w:tc>
        <w:tc>
          <w:tcPr>
            <w:tcW w:w="1080" w:type="dxa"/>
            <w:shd w:fill="F4F0F7"/>
          </w:tcPr>
          <w:p w14:paraId="6E0B7E6B"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All occupants</w:t>
            </w:r>
          </w:p>
        </w:tc>
        <w:tc>
          <w:tcPr>
            <w:tcW w:w="1584" w:type="dxa"/>
            <w:shd w:fill="F4F0F7"/>
          </w:tcPr>
          <w:p w14:paraId="49FDC016"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Injury due to poor housekeeping or wet floors</w:t>
            </w:r>
          </w:p>
        </w:tc>
        <w:tc>
          <w:tcPr>
            <w:tcW w:w="576" w:type="dxa"/>
            <w:shd w:val="clear" w:color="auto" w:fill="F4F0F7"/>
          </w:tcPr>
          <w:p w14:paraId="26BEF784"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3</w:t>
            </w:r>
          </w:p>
        </w:tc>
        <w:tc>
          <w:tcPr>
            <w:tcW w:w="576" w:type="dxa"/>
            <w:shd w:val="clear" w:color="auto" w:fill="F4F0F7"/>
          </w:tcPr>
          <w:p w14:paraId="072A4F89"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4</w:t>
            </w:r>
          </w:p>
        </w:tc>
        <w:tc>
          <w:tcPr>
            <w:tcW w:w="835" w:type="dxa"/>
            <w:shd w:val="clear" w:color="auto" w:fill="ED7D31" w:themeFill="accent6" w:themeFillShade="BF"/>
          </w:tcPr>
          <w:p w14:paraId="7D39E04E"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color w:val="FFFFFF"/>
                <w:sz w:val="20"/>
                <w:szCs w:val="20"/>
              </w:rPr>
              <w:t>12</w:t>
            </w:r>
          </w:p>
        </w:tc>
        <w:tc>
          <w:tcPr>
            <w:tcW w:w="4104" w:type="dxa"/>
            <w:shd w:fill="F4F0F7"/>
          </w:tcPr>
          <w:p w14:paraId="305F109D"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Good housekeeping maintained; spillages cleaned immediately; cables managed; adequate lighting provided; grit used during icy conditions.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15BFA" w:rsidRPr="00715BFA" w14:paraId="3E4B138A" w14:textId="77777777" w:rsidTr="00715BFA">
        <w:trPr>
          <w:jc w:val="center"/>
          <w:cantSplit/>
        </w:trPr>
        <w:tc>
          <w:tcPr>
            <w:tcW w:w="1368" w:type="dxa"/>
            <w:shd w:fill="FFFFFF"/>
          </w:tcPr>
          <w:p w14:paraId="29FEAE80"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Manual handling of materials</w:t>
            </w:r>
          </w:p>
        </w:tc>
        <w:tc>
          <w:tcPr>
            <w:tcW w:w="1080" w:type="dxa"/>
            <w:shd w:fill="FFFFFF"/>
          </w:tcPr>
          <w:p w14:paraId="2A792CCF"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Employees</w:t>
            </w:r>
          </w:p>
        </w:tc>
        <w:tc>
          <w:tcPr>
            <w:tcW w:w="1584" w:type="dxa"/>
            <w:shd w:fill="FFFFFF"/>
          </w:tcPr>
          <w:p w14:paraId="05B8BF8B"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Musculoskeletal injury</w:t>
            </w:r>
          </w:p>
        </w:tc>
        <w:tc>
          <w:tcPr>
            <w:tcW w:w="576" w:type="dxa"/>
            <w:shd w:val="clear" w:color="auto" w:fill="FFFFFF"/>
          </w:tcPr>
          <w:p w14:paraId="1B98EFC5"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3</w:t>
            </w:r>
          </w:p>
        </w:tc>
        <w:tc>
          <w:tcPr>
            <w:tcW w:w="576" w:type="dxa"/>
            <w:shd w:val="clear" w:color="auto" w:fill="FFFFFF"/>
          </w:tcPr>
          <w:p w14:paraId="55331BDA"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4</w:t>
            </w:r>
          </w:p>
        </w:tc>
        <w:tc>
          <w:tcPr>
            <w:tcW w:w="835" w:type="dxa"/>
            <w:shd w:val="clear" w:color="auto" w:fill="ED7D31" w:themeFill="accent6" w:themeFillShade="BF"/>
          </w:tcPr>
          <w:p w14:paraId="24C05862"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color w:val="FFFFFF"/>
                <w:sz w:val="20"/>
                <w:szCs w:val="20"/>
              </w:rPr>
              <w:t>12</w:t>
            </w:r>
          </w:p>
        </w:tc>
        <w:tc>
          <w:tcPr>
            <w:tcW w:w="4104" w:type="dxa"/>
            <w:shd w:fill="FFFFFF"/>
          </w:tcPr>
          <w:p w14:paraId="020B6772"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 xml:space="preserve">Manual Handling GRA applied; mechanical aids provided; storage arranged to minimise lifting from </w:t>
            </w:r>
            <w:r w:rsidRPr="00715BFA">
              <w:rPr>
                <w:rFonts w:ascii="Aptos" w:hAnsi="Aptos" w:eastAsia="Aptos" w:cs="Aptos"/>
                <w:sz w:val="20"/>
                <w:szCs w:val="20"/>
              </w:rPr>
              <w:lastRenderedPageBreak/>
              <w:t>height; training provided.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15BFA" w:rsidRPr="00715BFA" w14:paraId="42BDD052" w14:textId="77777777" w:rsidTr="00715BFA">
        <w:trPr>
          <w:jc w:val="center"/>
          <w:cantSplit/>
        </w:trPr>
        <w:tc>
          <w:tcPr>
            <w:tcW w:w="1368" w:type="dxa"/>
            <w:shd w:fill="F4F0F7"/>
          </w:tcPr>
          <w:p w14:paraId="61396B70"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Exposure to hazardous substances (fuels, oils, cleaning products)</w:t>
            </w:r>
          </w:p>
        </w:tc>
        <w:tc>
          <w:tcPr>
            <w:tcW w:w="1080" w:type="dxa"/>
            <w:shd w:fill="F4F0F7"/>
          </w:tcPr>
          <w:p w14:paraId="72DBA231"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Employees</w:t>
            </w:r>
          </w:p>
        </w:tc>
        <w:tc>
          <w:tcPr>
            <w:tcW w:w="1584" w:type="dxa"/>
            <w:shd w:fill="F4F0F7"/>
          </w:tcPr>
          <w:p w14:paraId="6EEA3154"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Skin irritation, inhalation or eye injury</w:t>
            </w:r>
          </w:p>
        </w:tc>
        <w:tc>
          <w:tcPr>
            <w:tcW w:w="576" w:type="dxa"/>
            <w:shd w:val="clear" w:color="auto" w:fill="F4F0F7"/>
          </w:tcPr>
          <w:p w14:paraId="29734333"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3</w:t>
            </w:r>
          </w:p>
        </w:tc>
        <w:tc>
          <w:tcPr>
            <w:tcW w:w="576" w:type="dxa"/>
            <w:shd w:val="clear" w:color="auto" w:fill="F4F0F7"/>
          </w:tcPr>
          <w:p w14:paraId="45E5D3B8"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4</w:t>
            </w:r>
          </w:p>
        </w:tc>
        <w:tc>
          <w:tcPr>
            <w:tcW w:w="835" w:type="dxa"/>
            <w:shd w:val="clear" w:color="auto" w:fill="ED7D31" w:themeFill="accent6" w:themeFillShade="BF"/>
          </w:tcPr>
          <w:p w14:paraId="1CF80BAB"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color w:val="FFFFFF"/>
                <w:sz w:val="20"/>
                <w:szCs w:val="20"/>
              </w:rPr>
              <w:t>12</w:t>
            </w:r>
          </w:p>
        </w:tc>
        <w:tc>
          <w:tcPr>
            <w:tcW w:w="4104" w:type="dxa"/>
            <w:shd w:fill="F4F0F7"/>
          </w:tcPr>
          <w:p w14:paraId="72E46015"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COSHH assessments completed; substances stored securely; spill kits available; eye wash stations provided; PPE worn as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15BFA" w:rsidRPr="00715BFA" w14:paraId="779EBB92" w14:textId="77777777" w:rsidTr="00715BFA">
        <w:trPr>
          <w:jc w:val="center"/>
          <w:cantSplit/>
        </w:trPr>
        <w:tc>
          <w:tcPr>
            <w:tcW w:w="1368" w:type="dxa"/>
            <w:shd w:fill="FFFFFF"/>
          </w:tcPr>
          <w:p w14:paraId="06EDC517"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Poor workstation ergonomics</w:t>
            </w:r>
          </w:p>
        </w:tc>
        <w:tc>
          <w:tcPr>
            <w:tcW w:w="1080" w:type="dxa"/>
            <w:shd w:fill="FFFFFF"/>
          </w:tcPr>
          <w:p w14:paraId="6AAEBB06"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Office staff</w:t>
            </w:r>
          </w:p>
        </w:tc>
        <w:tc>
          <w:tcPr>
            <w:tcW w:w="1584" w:type="dxa"/>
            <w:shd w:fill="FFFFFF"/>
          </w:tcPr>
          <w:p w14:paraId="4C49D3CF"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Repetitive strain injury or musculoskeletal disorder</w:t>
            </w:r>
          </w:p>
        </w:tc>
        <w:tc>
          <w:tcPr>
            <w:tcW w:w="576" w:type="dxa"/>
            <w:shd w:val="clear" w:color="auto" w:fill="FFFFFF"/>
          </w:tcPr>
          <w:p w14:paraId="474F84FD"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3</w:t>
            </w:r>
          </w:p>
        </w:tc>
        <w:tc>
          <w:tcPr>
            <w:tcW w:w="576" w:type="dxa"/>
            <w:shd w:val="clear" w:color="auto" w:fill="FFFFFF"/>
          </w:tcPr>
          <w:p w14:paraId="50ADC11D"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3</w:t>
            </w:r>
          </w:p>
        </w:tc>
        <w:tc>
          <w:tcPr>
            <w:tcW w:w="835" w:type="dxa"/>
            <w:shd w:val="clear" w:color="auto" w:fill="F8CBAD" w:themeFill="accent6" w:themeFillTint="33"/>
          </w:tcPr>
          <w:p w14:paraId="34D66242"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color w:val="000000"/>
                <w:sz w:val="20"/>
                <w:szCs w:val="20"/>
              </w:rPr>
              <w:t>9</w:t>
            </w:r>
          </w:p>
        </w:tc>
        <w:tc>
          <w:tcPr>
            <w:tcW w:w="4104" w:type="dxa"/>
            <w:shd w:fill="FFFFFF"/>
          </w:tcPr>
          <w:p w14:paraId="1F8446F6"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Display Screen Equipment assessments completed; adjustable seating provided; breaks encouraged; reasonable adjustments made.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715BFA" w:rsidRPr="00715BFA" w14:paraId="1C47EC19" w14:textId="77777777" w:rsidTr="00715BFA">
        <w:trPr>
          <w:jc w:val="center"/>
          <w:cantSplit/>
        </w:trPr>
        <w:tc>
          <w:tcPr>
            <w:tcW w:w="1368" w:type="dxa"/>
            <w:shd w:fill="F4F0F7"/>
          </w:tcPr>
          <w:p w14:paraId="1F8EBD10"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Poor welfare facilities</w:t>
            </w:r>
          </w:p>
        </w:tc>
        <w:tc>
          <w:tcPr>
            <w:tcW w:w="1080" w:type="dxa"/>
            <w:shd w:fill="F4F0F7"/>
          </w:tcPr>
          <w:p w14:paraId="41F7CD61"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Employees, visitors</w:t>
            </w:r>
          </w:p>
        </w:tc>
        <w:tc>
          <w:tcPr>
            <w:tcW w:w="1584" w:type="dxa"/>
            <w:shd w:fill="F4F0F7"/>
          </w:tcPr>
          <w:p w14:paraId="5A8ECF6A"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Health issues due to inadequate sanitation</w:t>
            </w:r>
          </w:p>
        </w:tc>
        <w:tc>
          <w:tcPr>
            <w:tcW w:w="576" w:type="dxa"/>
            <w:shd w:val="clear" w:color="auto" w:fill="F4F0F7"/>
          </w:tcPr>
          <w:p w14:paraId="33B7F2CB"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2</w:t>
            </w:r>
          </w:p>
        </w:tc>
        <w:tc>
          <w:tcPr>
            <w:tcW w:w="576" w:type="dxa"/>
            <w:shd w:val="clear" w:color="auto" w:fill="F4F0F7"/>
          </w:tcPr>
          <w:p w14:paraId="32EA350E"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sz w:val="20"/>
                <w:szCs w:val="20"/>
              </w:rPr>
              <w:t>4</w:t>
            </w:r>
          </w:p>
        </w:tc>
        <w:tc>
          <w:tcPr>
            <w:tcW w:w="835" w:type="dxa"/>
            <w:shd w:val="clear" w:color="auto" w:fill="F8CBAD" w:themeFill="accent6" w:themeFillTint="33"/>
          </w:tcPr>
          <w:p w14:paraId="5E0235B9" w14:textId="77777777" w:rsidR="0089126F" w:rsidRPr="00715BFA" w:rsidRDefault="00000000">
            <w:pPr>
              <w:spacing w:after="0" w:line="240" w:lineRule="auto"/>
              <w:jc w:val="center"/>
              <w:rPr>
                <w:rFonts w:ascii="Aptos Display" w:hAnsi="Aptos Display"/>
                <w:sz w:val="20"/>
                <w:szCs w:val="20"/>
              </w:rPr>
            </w:pPr>
            <w:r w:rsidRPr="00715BFA">
              <w:rPr>
                <w:rFonts w:ascii="Aptos" w:hAnsi="Aptos" w:eastAsia="Aptos" w:cs="Aptos"/>
                <w:color w:val="000000"/>
                <w:sz w:val="20"/>
                <w:szCs w:val="20"/>
              </w:rPr>
              <w:t>8</w:t>
            </w:r>
          </w:p>
        </w:tc>
        <w:tc>
          <w:tcPr>
            <w:tcW w:w="4104" w:type="dxa"/>
            <w:shd w:fill="F4F0F7"/>
          </w:tcPr>
          <w:p w14:paraId="15D3D9AB" w14:textId="77777777" w:rsidR="0089126F" w:rsidRPr="00715BFA" w:rsidRDefault="00000000">
            <w:pPr>
              <w:spacing w:after="0" w:line="240" w:lineRule="auto"/>
              <w:rPr>
                <w:rFonts w:ascii="Aptos Display" w:hAnsi="Aptos Display"/>
                <w:sz w:val="20"/>
                <w:szCs w:val="20"/>
              </w:rPr>
            </w:pPr>
            <w:r w:rsidRPr="00715BFA">
              <w:rPr>
                <w:rFonts w:ascii="Aptos" w:hAnsi="Aptos" w:eastAsia="Aptos" w:cs="Aptos"/>
                <w:sz w:val="20"/>
                <w:szCs w:val="20"/>
              </w:rPr>
              <w:t>Welfare facilities maintained in accordance with Workplace Regulations; drinking water provided; cleaning schedule implemented.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bl>
    <w:p w14:paraId="0E393F0C" w14:textId="77777777" w:rsidR="0089126F" w:rsidRPr="00715BFA" w:rsidRDefault="00000000">
      <w:pPr>
        <w:pStyle w:val="Heading2"/>
        <w:rPr>
          <w:rFonts w:ascii="Aptos Display" w:hAnsi="Aptos Display"/>
          <w:color w:val="auto"/>
          <w:sz w:val="20"/>
          <w:szCs w:val="20"/>
        </w:rPr>
      </w:pPr>
      <w:r w:rsidRPr="00715BFA">
        <w:rPr>
          <w:rFonts w:ascii="Aptos" w:hAnsi="Aptos" w:eastAsia="Aptos" w:cs="Aptos"/>
          <w:color w:val="auto"/>
          <w:sz w:val="20"/>
          <w:szCs w:val="20"/>
        </w:rPr>
        <w:t>9. Review &amp; Monitoring</w:t>
      </w:r>
    </w:p>
    <w:p w14:paraId="4534592B" w14:textId="77777777" w:rsidR="0089126F" w:rsidRPr="00715BFA" w:rsidRDefault="00000000">
      <w:pPr>
        <w:rPr>
          <w:rFonts w:ascii="Aptos Display" w:hAnsi="Aptos Display"/>
          <w:sz w:val="20"/>
          <w:szCs w:val="20"/>
        </w:rPr>
      </w:pPr>
      <w:r w:rsidRPr="00715BFA">
        <w:rPr>
          <w:rFonts w:ascii="Aptos" w:hAnsi="Aptos" w:eastAsia="Aptos" w:cs="Aptos"/>
          <w:sz w:val="20"/>
          <w:szCs w:val="20"/>
        </w:rPr>
        <w:t>This GRA must be reviewed annually, following any incident, structural changes to premises, or changes in legislation or audit recommendation.</w:t>
      </w:r>
    </w:p>
    <w:sectPr w:rsidR="0089126F" w:rsidRPr="00715BFA" w:rsidSect="00715BFA">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C4C5BD" w14:textId="77777777" w:rsidR="00682DBE" w:rsidRDefault="00682DBE" w:rsidP="00715BFA">
      <w:pPr>
        <w:spacing w:after="0" w:line="240" w:lineRule="auto"/>
      </w:pPr>
      <w:r>
        <w:separator/>
      </w:r>
    </w:p>
  </w:endnote>
  <w:endnote w:type="continuationSeparator" w:id="0">
    <w:p w14:paraId="35A9EA69" w14:textId="77777777" w:rsidR="00682DBE" w:rsidRDefault="00682DBE" w:rsidP="00715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2FCE6" w14:textId="77777777" w:rsidR="00715BFA" w:rsidRPr="00715BFA" w:rsidRDefault="00715BFA" w:rsidP="00715BFA">
    <w:pPr>
      <w:spacing w:after="0"/>
      <w:rPr>
        <w:rFonts w:ascii="Aptos Display" w:hAnsi="Aptos Display"/>
        <w:color w:val="FF0000"/>
        <w:sz w:val="16"/>
        <w:szCs w:val="16"/>
      </w:rPr>
    </w:pPr>
    <w:r w:rsidRPr="00715BFA">
      <w:rPr>
        <w:rFonts w:ascii="Aptos" w:hAnsi="Aptos" w:eastAsia="Aptos" w:cs="Aptos"/>
        <w:color w:val="FF0000"/>
        <w:sz w:val="20"/>
        <w:szCs w:val="20"/>
      </w:rPr>
      <w:br/>
    </w:r>
    <w:r w:rsidRPr="00715BFA">
      <w:rPr>
        <w:rFonts w:ascii="Aptos" w:hAnsi="Aptos" w:eastAsia="Aptos" w:cs="Aptos"/>
        <w:color w:val="FF0000"/>
        <w:sz w:val="20"/>
        <w:szCs w:val="16"/>
      </w:rPr>
      <w:t>[COMPANY NAME] – GRA Office &amp; Yard Operations - ARB-GRA-16</w:t>
    </w:r>
  </w:p>
  <w:p w14:paraId="76DCBFB8" w14:textId="77777777" w:rsidR="00715BFA" w:rsidRPr="00715BFA" w:rsidRDefault="00715BFA" w:rsidP="00715BFA">
    <w:pPr>
      <w:spacing w:after="0"/>
      <w:rPr>
        <w:rFonts w:ascii="Aptos Display" w:hAnsi="Aptos Display"/>
        <w:color w:val="FF0000"/>
        <w:sz w:val="16"/>
        <w:szCs w:val="16"/>
      </w:rPr>
    </w:pPr>
    <w:r w:rsidRPr="00715BFA">
      <w:rPr>
        <w:rFonts w:ascii="Aptos" w:hAnsi="Aptos" w:eastAsia="Aptos" w:cs="Aptos"/>
        <w:color w:val="FF0000"/>
        <w:sz w:val="20"/>
        <w:szCs w:val="16"/>
      </w:rPr>
      <w:t>Version: [</w:t>
    </w:r>
    <w:proofErr w:type="gramStart"/>
    <w:r w:rsidRPr="00715BFA">
      <w:rPr>
        <w:rFonts w:ascii="Aptos" w:hAnsi="Aptos" w:eastAsia="Aptos" w:cs="Aptos"/>
        <w:color w:val="FF0000"/>
        <w:sz w:val="20"/>
        <w:szCs w:val="16"/>
      </w:rPr>
      <w:t xml:space="preserve">VERSION]   </w:t>
    </w:r>
    <w:proofErr w:type="gramEnd"/>
    <w:r w:rsidRPr="00715BFA">
      <w:rPr>
        <w:rFonts w:ascii="Aptos" w:hAnsi="Aptos" w:eastAsia="Aptos" w:cs="Aptos"/>
        <w:color w:val="FF0000"/>
        <w:sz w:val="20"/>
        <w:szCs w:val="16"/>
      </w:rPr>
      <w:t>Date Issued: [DATE]   Review Date: [REVIEW DATE]</w:t>
    </w:r>
  </w:p>
  <w:p w14:paraId="23B6A58D" w14:textId="4B212579" w:rsidR="00715BFA" w:rsidRPr="00715BFA" w:rsidRDefault="00715BFA" w:rsidP="00715BFA">
    <w:pPr>
      <w:spacing w:after="0"/>
      <w:rPr>
        <w:rFonts w:ascii="Aptos Display" w:hAnsi="Aptos Display"/>
        <w:color w:val="FF0000"/>
        <w:sz w:val="16"/>
        <w:szCs w:val="16"/>
      </w:rPr>
    </w:pPr>
    <w:r w:rsidRPr="00715BFA">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A7B7E" w14:textId="77777777" w:rsidR="00682DBE" w:rsidRDefault="00682DBE" w:rsidP="00715BFA">
      <w:pPr>
        <w:spacing w:after="0" w:line="240" w:lineRule="auto"/>
      </w:pPr>
      <w:r>
        <w:separator/>
      </w:r>
    </w:p>
  </w:footnote>
  <w:footnote w:type="continuationSeparator" w:id="0">
    <w:p w14:paraId="61BE3F58" w14:textId="77777777" w:rsidR="00682DBE" w:rsidRDefault="00682DBE" w:rsidP="00715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DBF8B" w14:textId="7D2CEBE2" w:rsidR="00715BFA" w:rsidRPr="00715BFA" w:rsidRDefault="00715BFA" w:rsidP="00715BFA">
    <w:pPr>
      <w:rPr>
        <w:rFonts w:ascii="Aptos Display" w:hAnsi="Aptos Display"/>
        <w:color w:val="FF0000"/>
        <w:sz w:val="20"/>
        <w:szCs w:val="20"/>
      </w:rPr>
    </w:pPr>
    <w:r w:rsidRPr="00715BFA">
      <w:rPr>
        <w:rFonts w:ascii="Aptos" w:hAnsi="Aptos" w:eastAsia="Aptos" w:cs="Aptos"/>
        <w:color w:val="FF0000"/>
        <w:sz w:val="20"/>
        <w:szCs w:val="20"/>
      </w:rPr>
      <w:t>LOGO [Insert Company Logo Here]</w:t>
    </w:r>
    <w:r w:rsidRPr="00715BFA">
      <w:rPr>
        <w:rFonts w:ascii="Aptos" w:hAnsi="Aptos"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0858471">
    <w:abstractNumId w:val="8"/>
  </w:num>
  <w:num w:numId="2" w16cid:durableId="633827970">
    <w:abstractNumId w:val="6"/>
  </w:num>
  <w:num w:numId="3" w16cid:durableId="1916083810">
    <w:abstractNumId w:val="5"/>
  </w:num>
  <w:num w:numId="4" w16cid:durableId="1005522968">
    <w:abstractNumId w:val="4"/>
  </w:num>
  <w:num w:numId="5" w16cid:durableId="1074280282">
    <w:abstractNumId w:val="7"/>
  </w:num>
  <w:num w:numId="6" w16cid:durableId="1990665532">
    <w:abstractNumId w:val="3"/>
  </w:num>
  <w:num w:numId="7" w16cid:durableId="2092699588">
    <w:abstractNumId w:val="2"/>
  </w:num>
  <w:num w:numId="8" w16cid:durableId="721950276">
    <w:abstractNumId w:val="1"/>
  </w:num>
  <w:num w:numId="9" w16cid:durableId="1274283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682DBE"/>
    <w:rsid w:val="00715BFA"/>
    <w:rsid w:val="0089126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F7BB38"/>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2</cp:revision>
  <dcterms:created xsi:type="dcterms:W3CDTF">2026-02-14T14:48:00Z</dcterms:created>
  <dcterms:modified xsi:type="dcterms:W3CDTF">2026-02-14T14:48:00Z</dcterms:modified>
  <cp:category/>
</cp:coreProperties>
</file>