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8014DF" w14:textId="13F8EAF2" w:rsidR="00E532DD" w:rsidRPr="003C5839" w:rsidRDefault="00000000" w:rsidP="003C5839">
      <w:pPr>
        <w:spacing w:after="0"/>
        <w:jc w:val="center"/>
        <w:rPr>
          <w:rFonts w:ascii="Aptos Display" w:hAnsi="Aptos Display"/>
          <w:b/>
          <w:bCs/>
          <w:color w:val="FF0000"/>
          <w:sz w:val="20"/>
          <w:szCs w:val="20"/>
          <w:u w:val="single"/>
        </w:rPr>
      </w:pPr>
      <w:r w:rsidRPr="003C5839">
        <w:rPr>
          <w:rFonts w:ascii="Aptos" w:hAnsi="Aptos" w:eastAsia="Aptos" w:cs="Aptos"/>
          <w:b/>
          <w:bCs/>
          <w:color w:val="FF0000"/>
          <w:sz w:val="20"/>
          <w:szCs w:val="20"/>
          <w:u w:val="single"/>
        </w:rPr>
        <w:t>COMPANY</w:t>
      </w:r>
    </w:p>
    <w:p w14:paraId="18AD86FB" w14:textId="77777777" w:rsidR="00E532DD" w:rsidRPr="003C5839" w:rsidRDefault="00000000" w:rsidP="003C5839">
      <w:pPr>
        <w:spacing w:after="0"/>
        <w:jc w:val="center"/>
        <w:rPr>
          <w:rFonts w:ascii="Aptos Display" w:hAnsi="Aptos Display"/>
          <w:sz w:val="20"/>
          <w:szCs w:val="20"/>
          <w:u w:val="single"/>
        </w:rPr>
      </w:pPr>
      <w:r w:rsidRPr="003C5839">
        <w:rPr>
          <w:rFonts w:ascii="Aptos" w:hAnsi="Aptos" w:eastAsia="Aptos" w:cs="Aptos"/>
          <w:sz w:val="20"/>
          <w:szCs w:val="20"/>
          <w:u w:val="single"/>
        </w:rPr>
        <w:t>GENERIC RISK ASSESSMENT (GRA) – USE OF HAND TOOLS</w:t>
      </w:r>
      <w:r w:rsidRPr="003C5839">
        <w:rPr>
          <w:rFonts w:ascii="Aptos" w:hAnsi="Aptos" w:eastAsia="Aptos" w:cs="Aptos"/>
          <w:sz w:val="20"/>
          <w:szCs w:val="20"/>
          <w:u w:val="single"/>
        </w:rPr>
        <w:br/>
      </w:r>
    </w:p>
    <w:p w14:paraId="54201390" w14:textId="77777777" w:rsidR="00E532DD" w:rsidRPr="003C5839" w:rsidRDefault="00000000">
      <w:pPr>
        <w:rPr>
          <w:rFonts w:ascii="Aptos Display" w:hAnsi="Aptos Display"/>
          <w:sz w:val="20"/>
          <w:szCs w:val="20"/>
        </w:rPr>
      </w:pPr>
      <w:r w:rsidRPr="003C5839">
        <w:rPr>
          <w:rFonts w:ascii="Aptos" w:hAnsi="Aptos" w:eastAsia="Aptos" w:cs="Aptos"/>
          <w:sz w:val="20"/>
          <w:szCs w:val="20"/>
        </w:rPr>
        <w:t>Activity / Task: Use of non-powered and powered hand tools during arboricultural, landscaping and grounds maintenance operations</w:t>
      </w:r>
    </w:p>
    <w:p w14:paraId="6D9B66FB" w14:textId="77777777" w:rsidR="00E532DD" w:rsidRPr="003C5839" w:rsidRDefault="00000000">
      <w:pPr>
        <w:rPr>
          <w:rFonts w:ascii="Aptos Display" w:hAnsi="Aptos Display"/>
          <w:sz w:val="20"/>
          <w:szCs w:val="20"/>
        </w:rPr>
      </w:pPr>
      <w:r w:rsidRPr="003C5839">
        <w:rPr>
          <w:rFonts w:ascii="Aptos" w:hAnsi="Aptos" w:eastAsia="Aptos" w:cs="Aptos"/>
          <w:sz w:val="20"/>
          <w:szCs w:val="20"/>
        </w:rPr>
        <w:t>Document Ref: ARB-GRA-20</w:t>
      </w:r>
    </w:p>
    <w:p w14:paraId="7DCAAC0F" w14:textId="77777777" w:rsidR="00E532DD" w:rsidRPr="003C5839" w:rsidRDefault="00000000">
      <w:pPr>
        <w:rPr>
          <w:rFonts w:ascii="Aptos Display" w:hAnsi="Aptos Display"/>
          <w:sz w:val="20"/>
          <w:szCs w:val="20"/>
        </w:rPr>
      </w:pPr>
      <w:r w:rsidRPr="003C5839">
        <w:rPr>
          <w:rFonts w:ascii="Aptos" w:hAnsi="Aptos" w:eastAsia="Aptos" w:cs="Aptos"/>
          <w:sz w:val="20"/>
          <w:szCs w:val="20"/>
        </w:rPr>
        <w:t>Version: ____    Date Issued: ____    Review Date: ____</w:t>
      </w:r>
    </w:p>
    <w:p w14:paraId="6337A579" w14:textId="77777777" w:rsidR="00E532DD" w:rsidRPr="003C5839" w:rsidRDefault="00000000">
      <w:pPr>
        <w:rPr>
          <w:rFonts w:ascii="Aptos Display" w:hAnsi="Aptos Display"/>
          <w:sz w:val="20"/>
          <w:szCs w:val="20"/>
        </w:rPr>
      </w:pPr>
      <w:r w:rsidRPr="003C5839">
        <w:rPr>
          <w:rFonts w:ascii="Aptos" w:hAnsi="Aptos" w:eastAsia="Aptos" w:cs="Aptos"/>
          <w:sz w:val="20"/>
          <w:szCs w:val="20"/>
        </w:rPr>
        <w:t>Assessed by: ______________________________</w:t>
      </w:r>
      <w:r w:rsidRPr="003C5839">
        <w:rPr>
          <w:rFonts w:ascii="Aptos" w:hAnsi="Aptos" w:eastAsia="Aptos" w:cs="Aptos"/>
          <w:sz w:val="20"/>
          <w:szCs w:val="20"/>
        </w:rPr>
        <w:br/>
      </w:r>
    </w:p>
    <w:p w14:paraId="68D3EDB1" w14:textId="77777777" w:rsidR="00E532DD" w:rsidRPr="003C5839" w:rsidRDefault="00000000">
      <w:pPr>
        <w:pStyle w:val="Heading2"/>
        <w:rPr>
          <w:rFonts w:ascii="Aptos Display" w:hAnsi="Aptos Display"/>
          <w:color w:val="auto"/>
          <w:sz w:val="20"/>
          <w:szCs w:val="20"/>
        </w:rPr>
      </w:pPr>
      <w:r w:rsidRPr="003C5839">
        <w:rPr>
          <w:rFonts w:ascii="Aptos" w:hAnsi="Aptos" w:eastAsia="Aptos" w:cs="Aptos"/>
          <w:color w:val="auto"/>
          <w:sz w:val="20"/>
          <w:szCs w:val="20"/>
        </w:rPr>
        <w:t>1. Scope of Risk Assessment</w:t>
      </w:r>
    </w:p>
    <w:p w14:paraId="25529E3B" w14:textId="77777777" w:rsidR="00E532DD" w:rsidRPr="003C5839" w:rsidRDefault="00000000">
      <w:pPr>
        <w:rPr>
          <w:rFonts w:ascii="Aptos Display" w:hAnsi="Aptos Display"/>
          <w:sz w:val="20"/>
          <w:szCs w:val="20"/>
        </w:rPr>
      </w:pPr>
      <w:r w:rsidRPr="003C5839">
        <w:rPr>
          <w:rFonts w:ascii="Aptos" w:hAnsi="Aptos" w:eastAsia="Aptos" w:cs="Aptos"/>
          <w:sz w:val="20"/>
          <w:szCs w:val="20"/>
        </w:rPr>
        <w:t>This Generic Risk Assessment (GRA) covers the foreseeable hazards associated with the use of hand tools, including striking tools (hammers, mallets), cutting tools (saws, knives), digging tools (spades, mattocks, bars), pruning tools (loppers, secateurs), and portable powered hand tools not otherwise specifically risk assessed. This GRA must be read alongside a Site-Specific Risk Assessment (SSRA) and any relevant task-specific GRAs.</w:t>
      </w:r>
    </w:p>
    <w:p w14:paraId="6D8D0BBB" w14:textId="77777777" w:rsidR="00E532DD" w:rsidRPr="003C5839" w:rsidRDefault="00000000">
      <w:pPr>
        <w:pStyle w:val="Heading2"/>
        <w:rPr>
          <w:rFonts w:ascii="Aptos Display" w:hAnsi="Aptos Display"/>
          <w:color w:val="auto"/>
          <w:sz w:val="20"/>
          <w:szCs w:val="20"/>
        </w:rPr>
      </w:pPr>
      <w:r w:rsidRPr="003C5839">
        <w:rPr>
          <w:rFonts w:ascii="Aptos" w:hAnsi="Aptos" w:eastAsia="Aptos" w:cs="Aptos"/>
          <w:color w:val="auto"/>
          <w:sz w:val="20"/>
          <w:szCs w:val="20"/>
        </w:rPr>
        <w:t>2. Responsibilities</w:t>
      </w:r>
    </w:p>
    <w:p w14:paraId="5707FE04" w14:textId="77777777" w:rsidR="00E532DD" w:rsidRPr="003C5839" w:rsidRDefault="00000000">
      <w:pPr>
        <w:rPr>
          <w:rFonts w:ascii="Aptos Display" w:hAnsi="Aptos Display"/>
          <w:sz w:val="20"/>
          <w:szCs w:val="20"/>
        </w:rPr>
      </w:pPr>
      <w:r w:rsidRPr="003C5839">
        <w:rPr>
          <w:rFonts w:ascii="Aptos" w:hAnsi="Aptos" w:eastAsia="Aptos" w:cs="Aptos"/>
          <w:sz w:val="20"/>
          <w:szCs w:val="20"/>
        </w:rPr>
        <w:t>Managers must ensure tools are suitable, maintained under PUWER 1998 where applicable, and that operators are trained and competent.</w:t>
      </w:r>
    </w:p>
    <w:p w14:paraId="68A8CDAC" w14:textId="77777777" w:rsidR="00E532DD" w:rsidRPr="003C5839" w:rsidRDefault="00000000">
      <w:pPr>
        <w:rPr>
          <w:rFonts w:ascii="Aptos Display" w:hAnsi="Aptos Display"/>
          <w:sz w:val="20"/>
          <w:szCs w:val="20"/>
        </w:rPr>
      </w:pPr>
      <w:r w:rsidRPr="003C5839">
        <w:rPr>
          <w:rFonts w:ascii="Aptos" w:hAnsi="Aptos" w:eastAsia="Aptos" w:cs="Aptos"/>
          <w:sz w:val="20"/>
          <w:szCs w:val="20"/>
        </w:rPr>
        <w:t>Team Leaders must brief the SSRA, monitor safe systems of work, and ensure defective tools are removed from service.</w:t>
      </w:r>
    </w:p>
    <w:p w14:paraId="2EE720BE" w14:textId="77777777" w:rsidR="00E532DD" w:rsidRPr="003C5839" w:rsidRDefault="00000000">
      <w:pPr>
        <w:rPr>
          <w:rFonts w:ascii="Aptos Display" w:hAnsi="Aptos Display"/>
          <w:sz w:val="20"/>
          <w:szCs w:val="20"/>
        </w:rPr>
      </w:pPr>
      <w:r w:rsidRPr="003C5839">
        <w:rPr>
          <w:rFonts w:ascii="Aptos" w:hAnsi="Aptos" w:eastAsia="Aptos" w:cs="Aptos"/>
          <w:sz w:val="20"/>
          <w:szCs w:val="20"/>
        </w:rPr>
        <w:t>Operators must use tools only for their intended purpose, complete pre-use checks, wear required PPE and report defects immediately.</w:t>
      </w:r>
    </w:p>
    <w:p w14:paraId="73DFEA05" w14:textId="77777777" w:rsidR="00E532DD" w:rsidRPr="003C5839" w:rsidRDefault="00000000">
      <w:pPr>
        <w:pStyle w:val="Heading2"/>
        <w:rPr>
          <w:rFonts w:ascii="Aptos Display" w:hAnsi="Aptos Display"/>
          <w:color w:val="auto"/>
          <w:sz w:val="20"/>
          <w:szCs w:val="20"/>
        </w:rPr>
      </w:pPr>
      <w:r w:rsidRPr="003C5839">
        <w:rPr>
          <w:rFonts w:ascii="Aptos" w:hAnsi="Aptos" w:eastAsia="Aptos" w:cs="Aptos"/>
          <w:color w:val="auto"/>
          <w:sz w:val="20"/>
          <w:szCs w:val="20"/>
        </w:rPr>
        <w:t>3. Persons at Risk</w:t>
      </w:r>
    </w:p>
    <w:p w14:paraId="7021A937" w14:textId="77777777" w:rsidR="00E532DD" w:rsidRPr="003C5839" w:rsidRDefault="00000000">
      <w:pPr>
        <w:rPr>
          <w:rFonts w:ascii="Aptos Display" w:hAnsi="Aptos Display"/>
          <w:sz w:val="20"/>
          <w:szCs w:val="20"/>
        </w:rPr>
      </w:pPr>
      <w:r w:rsidRPr="003C5839">
        <w:rPr>
          <w:rFonts w:ascii="Aptos" w:hAnsi="Aptos" w:cs="Aptos" w:eastAsia="Aptos"/>
          <w:sz w:val="20"/>
          <w:szCs w:val="20"/>
        </w:rPr>
        <w:t>☒</w:t>
      </w:r>
      <w:r w:rsidRPr="003C5839">
        <w:rPr>
          <w:rFonts w:ascii="Aptos" w:hAnsi="Aptos" w:eastAsia="Aptos" w:cs="Aptos"/>
          <w:sz w:val="20"/>
          <w:szCs w:val="20"/>
        </w:rPr>
        <w:t xml:space="preserve"> Employees    </w:t>
      </w:r>
      <w:r w:rsidRPr="003C5839">
        <w:rPr>
          <w:rFonts w:ascii="Aptos" w:hAnsi="Aptos" w:cs="Aptos" w:eastAsia="Aptos"/>
          <w:sz w:val="20"/>
          <w:szCs w:val="20"/>
        </w:rPr>
        <w:t>☒</w:t>
      </w:r>
      <w:r w:rsidRPr="003C5839">
        <w:rPr>
          <w:rFonts w:ascii="Aptos" w:hAnsi="Aptos" w:eastAsia="Aptos" w:cs="Aptos"/>
          <w:sz w:val="20"/>
          <w:szCs w:val="20"/>
        </w:rPr>
        <w:t xml:space="preserve"> Contractors    </w:t>
      </w:r>
      <w:r w:rsidRPr="003C5839">
        <w:rPr>
          <w:rFonts w:ascii="Aptos" w:hAnsi="Aptos" w:cs="Aptos" w:eastAsia="Aptos"/>
          <w:sz w:val="20"/>
          <w:szCs w:val="20"/>
        </w:rPr>
        <w:t>☒</w:t>
      </w:r>
      <w:r w:rsidRPr="003C5839">
        <w:rPr>
          <w:rFonts w:ascii="Aptos" w:hAnsi="Aptos" w:eastAsia="Aptos" w:cs="Aptos"/>
          <w:sz w:val="20"/>
          <w:szCs w:val="20"/>
        </w:rPr>
        <w:t xml:space="preserve"> Members of the Public    </w:t>
      </w:r>
      <w:r w:rsidRPr="003C5839">
        <w:rPr>
          <w:rFonts w:ascii="Aptos" w:hAnsi="Aptos" w:cs="Aptos" w:eastAsia="Aptos"/>
          <w:sz w:val="20"/>
          <w:szCs w:val="20"/>
        </w:rPr>
        <w:t>☒</w:t>
      </w:r>
      <w:r w:rsidRPr="003C5839">
        <w:rPr>
          <w:rFonts w:ascii="Aptos" w:hAnsi="Aptos" w:eastAsia="Aptos" w:cs="Aptos"/>
          <w:sz w:val="20"/>
          <w:szCs w:val="20"/>
        </w:rPr>
        <w:t xml:space="preserve"> Clients    </w:t>
      </w:r>
      <w:r w:rsidRPr="003C5839">
        <w:rPr>
          <w:rFonts w:ascii="Aptos" w:hAnsi="Aptos" w:cs="Aptos" w:eastAsia="Aptos"/>
          <w:sz w:val="20"/>
          <w:szCs w:val="20"/>
        </w:rPr>
        <w:t>☒</w:t>
      </w:r>
      <w:r w:rsidRPr="003C5839">
        <w:rPr>
          <w:rFonts w:ascii="Aptos" w:hAnsi="Aptos" w:eastAsia="Aptos" w:cs="Aptos"/>
          <w:sz w:val="20"/>
          <w:szCs w:val="20"/>
        </w:rPr>
        <w:t xml:space="preserve"> Environment</w:t>
      </w:r>
    </w:p>
    <w:p w14:paraId="5665964B" w14:textId="77777777" w:rsidR="00E532DD" w:rsidRPr="003C5839" w:rsidRDefault="00000000">
      <w:pPr>
        <w:pStyle w:val="Heading2"/>
        <w:rPr>
          <w:rFonts w:ascii="Aptos Display" w:hAnsi="Aptos Display"/>
          <w:color w:val="auto"/>
          <w:sz w:val="20"/>
          <w:szCs w:val="20"/>
        </w:rPr>
      </w:pPr>
      <w:r w:rsidRPr="003C5839">
        <w:rPr>
          <w:rFonts w:ascii="Aptos" w:hAnsi="Aptos" w:eastAsia="Aptos" w:cs="Aptos"/>
          <w:color w:val="auto"/>
          <w:sz w:val="20"/>
          <w:szCs w:val="20"/>
        </w:rPr>
        <w:t>4. PPE Requirements</w:t>
      </w:r>
    </w:p>
    <w:p w14:paraId="1243AA11" w14:textId="77777777" w:rsidR="00E532DD" w:rsidRPr="003C5839" w:rsidRDefault="00000000">
      <w:pPr>
        <w:rPr>
          <w:rFonts w:ascii="Aptos Display" w:hAnsi="Aptos Display"/>
          <w:sz w:val="20"/>
          <w:szCs w:val="20"/>
        </w:rPr>
      </w:pPr>
      <w:r w:rsidRPr="003C5839">
        <w:rPr>
          <w:rFonts w:ascii="Aptos" w:hAnsi="Aptos" w:eastAsia="Aptos" w:cs="Aptos"/>
          <w:sz w:val="20"/>
          <w:szCs w:val="20"/>
        </w:rPr>
        <w:t>Minimum PPE: Safety footwear (EN ISO 20345), gloves appropriate to task, eye protection (EN166) when using striking or cutting tools, hearing protection where noise exceeds 80dB(A), and safety helmet where overhead risk exists. Additional PPE as identified in SSRA.</w:t>
      </w:r>
    </w:p>
    <w:p w14:paraId="48E01A74" w14:textId="77777777" w:rsidR="00E532DD" w:rsidRPr="003C5839" w:rsidRDefault="00000000">
      <w:pPr>
        <w:pStyle w:val="Heading2"/>
        <w:rPr>
          <w:rFonts w:ascii="Aptos Display" w:hAnsi="Aptos Display"/>
          <w:color w:val="auto"/>
          <w:sz w:val="20"/>
          <w:szCs w:val="20"/>
        </w:rPr>
      </w:pPr>
      <w:r w:rsidRPr="003C5839">
        <w:rPr>
          <w:rFonts w:ascii="Aptos" w:hAnsi="Aptos" w:eastAsia="Aptos" w:cs="Aptos"/>
          <w:color w:val="auto"/>
          <w:sz w:val="20"/>
          <w:szCs w:val="20"/>
        </w:rPr>
        <w:t>5. Emergency Arrangements</w:t>
      </w:r>
    </w:p>
    <w:p w14:paraId="5863AA88" w14:textId="77777777" w:rsidR="00E532DD" w:rsidRPr="003C5839" w:rsidRDefault="00000000">
      <w:pPr>
        <w:rPr>
          <w:rFonts w:ascii="Aptos Display" w:hAnsi="Aptos Display"/>
          <w:sz w:val="20"/>
          <w:szCs w:val="20"/>
        </w:rPr>
      </w:pPr>
      <w:r w:rsidRPr="003C5839">
        <w:rPr>
          <w:rFonts w:ascii="Aptos" w:hAnsi="Aptos" w:eastAsia="Aptos" w:cs="Aptos"/>
          <w:sz w:val="20"/>
          <w:szCs w:val="20"/>
        </w:rPr>
        <w:t>Emergency arrangements must align with FISA 802 where applicable. A first aid kit must be available on site. All injuries including minor cuts must be cleaned and dressed immediately. Nearest A&amp;E and precise site location must be known prior to commencing work.</w:t>
      </w:r>
    </w:p>
    <w:p w14:paraId="02920DCF" w14:textId="77777777" w:rsidR="00E532DD" w:rsidRPr="003C5839" w:rsidRDefault="00000000">
      <w:pPr>
        <w:pStyle w:val="Heading2"/>
        <w:rPr>
          <w:rFonts w:ascii="Aptos Display" w:hAnsi="Aptos Display"/>
          <w:color w:val="auto"/>
          <w:sz w:val="20"/>
          <w:szCs w:val="20"/>
        </w:rPr>
      </w:pPr>
      <w:r w:rsidRPr="003C5839">
        <w:rPr>
          <w:rFonts w:ascii="Aptos" w:hAnsi="Aptos" w:eastAsia="Aptos" w:cs="Aptos"/>
          <w:color w:val="auto"/>
          <w:sz w:val="20"/>
          <w:szCs w:val="20"/>
        </w:rPr>
        <w:t>6. Risk Matrix &amp; Scoring</w:t>
      </w:r>
    </w:p>
    <w:p w14:paraId="2554C969" w14:textId="77777777" w:rsidR="003C5839" w:rsidRPr="00216D93" w:rsidRDefault="003C5839" w:rsidP="003C5839">
      <w:pPr>
        <w:rPr>
          <w:rFonts w:ascii="Aptos Display" w:hAnsi="Aptos Display"/>
          <w:sz w:val="20"/>
          <w:szCs w:val="20"/>
        </w:rPr>
      </w:pPr>
      <w:r>
        <w:rPr>
          <w:rFonts w:ascii="Aptos" w:hAnsi="Aptos" w:eastAsia="Aptos" w:cs="Aptos"/>
          <w:sz w:val="20"/>
        </w:rPr>
        <w:t>Risk is assessed using Likelihood (L) and Severity (S). Each rating must show the component scores and the calculation: L × S = Risk Rating. Initial risk is assessed before controls. Residual risk is reassessed after the listed controls using a new Residual L and Residual S score; these must not be copied from the initial assessment without review.</w:t>
      </w:r>
    </w:p>
    <w:tbl>
      <w:tblPr>
        <w:tblStyle w:val="TableGrid"/>
        <w:tblW w:w="0" w:type="auto"/>
        <w:tblInd w:w="1198" w:type="dxa"/>
        <w:tblLook w:val="04A0" w:firstRow="1" w:lastRow="0" w:firstColumn="1" w:lastColumn="0" w:noHBand="0" w:noVBand="1"/>
      </w:tblPr>
      <w:tblGrid>
        <w:gridCol w:w="2738"/>
        <w:gridCol w:w="1275"/>
        <w:gridCol w:w="1471"/>
        <w:gridCol w:w="1506"/>
        <w:gridCol w:w="1418"/>
        <w:gridCol w:w="1701"/>
      </w:tblGrid>
      <w:tr w:rsidR="003C5839" w:rsidRPr="00216D93" w14:paraId="40CAA03B" w14:textId="77777777" w:rsidTr="00FD207C">
        <w:tc>
          <w:tcPr>
            <w:tcW w:w="2738" w:type="dxa"/>
            <w:shd w:val="clear" w:color="auto" w:fill="BFBFBF" w:themeFill="background1" w:themeFillShade="BF"/>
          </w:tcPr>
          <w:p w14:paraId="40BF9045"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Severity ↓ / Likelihood →</w:t>
            </w:r>
          </w:p>
        </w:tc>
        <w:tc>
          <w:tcPr>
            <w:tcW w:w="1275" w:type="dxa"/>
            <w:shd w:val="clear" w:color="auto" w:fill="BFBFBF" w:themeFill="background1" w:themeFillShade="BF"/>
          </w:tcPr>
          <w:p w14:paraId="100E79B7"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1 Rare</w:t>
            </w:r>
          </w:p>
        </w:tc>
        <w:tc>
          <w:tcPr>
            <w:tcW w:w="1471" w:type="dxa"/>
            <w:shd w:val="clear" w:color="auto" w:fill="BFBFBF" w:themeFill="background1" w:themeFillShade="BF"/>
          </w:tcPr>
          <w:p w14:paraId="1660225F"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2 Unlikely</w:t>
            </w:r>
          </w:p>
        </w:tc>
        <w:tc>
          <w:tcPr>
            <w:tcW w:w="1506" w:type="dxa"/>
            <w:shd w:val="clear" w:color="auto" w:fill="BFBFBF" w:themeFill="background1" w:themeFillShade="BF"/>
          </w:tcPr>
          <w:p w14:paraId="01135588"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3 Possible</w:t>
            </w:r>
          </w:p>
        </w:tc>
        <w:tc>
          <w:tcPr>
            <w:tcW w:w="1418" w:type="dxa"/>
            <w:shd w:val="clear" w:color="auto" w:fill="BFBFBF" w:themeFill="background1" w:themeFillShade="BF"/>
          </w:tcPr>
          <w:p w14:paraId="5DC4ECAA"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4 Likely</w:t>
            </w:r>
          </w:p>
        </w:tc>
        <w:tc>
          <w:tcPr>
            <w:tcW w:w="1701" w:type="dxa"/>
            <w:shd w:val="clear" w:color="auto" w:fill="BFBFBF" w:themeFill="background1" w:themeFillShade="BF"/>
          </w:tcPr>
          <w:p w14:paraId="66B820AE"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5 Very Likely</w:t>
            </w:r>
          </w:p>
        </w:tc>
      </w:tr>
      <w:tr w:rsidR="003C5839" w:rsidRPr="00216D93" w14:paraId="0ECE449C" w14:textId="77777777" w:rsidTr="00FD207C">
        <w:tc>
          <w:tcPr>
            <w:tcW w:w="2738" w:type="dxa"/>
          </w:tcPr>
          <w:p w14:paraId="3871DC4A"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1 Minor</w:t>
            </w:r>
          </w:p>
        </w:tc>
        <w:tc>
          <w:tcPr>
            <w:tcW w:w="1275" w:type="dxa"/>
            <w:shd w:val="clear" w:color="auto" w:fill="92D050"/>
          </w:tcPr>
          <w:p w14:paraId="031CC918"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1</w:t>
            </w:r>
          </w:p>
        </w:tc>
        <w:tc>
          <w:tcPr>
            <w:tcW w:w="1471" w:type="dxa"/>
            <w:shd w:val="clear" w:color="auto" w:fill="92D050"/>
          </w:tcPr>
          <w:p w14:paraId="025B58C4"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2</w:t>
            </w:r>
          </w:p>
        </w:tc>
        <w:tc>
          <w:tcPr>
            <w:tcW w:w="1506" w:type="dxa"/>
            <w:shd w:val="clear" w:color="auto" w:fill="92D050"/>
          </w:tcPr>
          <w:p w14:paraId="05690FC8"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3</w:t>
            </w:r>
          </w:p>
        </w:tc>
        <w:tc>
          <w:tcPr>
            <w:tcW w:w="1418" w:type="dxa"/>
            <w:shd w:val="clear" w:color="auto" w:fill="92D050"/>
          </w:tcPr>
          <w:p w14:paraId="2A8F1517"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4</w:t>
            </w:r>
          </w:p>
        </w:tc>
        <w:tc>
          <w:tcPr>
            <w:tcW w:w="1701" w:type="dxa"/>
            <w:shd w:val="clear" w:color="auto" w:fill="FBD4B4" w:themeFill="accent6" w:themeFillTint="66"/>
          </w:tcPr>
          <w:p w14:paraId="4E28D05C"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5</w:t>
            </w:r>
          </w:p>
        </w:tc>
      </w:tr>
      <w:tr w:rsidR="003C5839" w:rsidRPr="00216D93" w14:paraId="6D634EAD" w14:textId="77777777" w:rsidTr="00FD207C">
        <w:tc>
          <w:tcPr>
            <w:tcW w:w="2738" w:type="dxa"/>
          </w:tcPr>
          <w:p w14:paraId="1A2AD51D"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2 First Aid</w:t>
            </w:r>
          </w:p>
        </w:tc>
        <w:tc>
          <w:tcPr>
            <w:tcW w:w="1275" w:type="dxa"/>
            <w:shd w:val="clear" w:color="auto" w:fill="92D050"/>
          </w:tcPr>
          <w:p w14:paraId="783E751A"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2</w:t>
            </w:r>
          </w:p>
        </w:tc>
        <w:tc>
          <w:tcPr>
            <w:tcW w:w="1471" w:type="dxa"/>
            <w:shd w:val="clear" w:color="auto" w:fill="92D050"/>
          </w:tcPr>
          <w:p w14:paraId="0F1F4FCC"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4</w:t>
            </w:r>
          </w:p>
        </w:tc>
        <w:tc>
          <w:tcPr>
            <w:tcW w:w="1506" w:type="dxa"/>
            <w:shd w:val="clear" w:color="auto" w:fill="FBD4B4" w:themeFill="accent6" w:themeFillTint="66"/>
          </w:tcPr>
          <w:p w14:paraId="3F45076C"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6</w:t>
            </w:r>
          </w:p>
        </w:tc>
        <w:tc>
          <w:tcPr>
            <w:tcW w:w="1418" w:type="dxa"/>
            <w:shd w:val="clear" w:color="auto" w:fill="FBD4B4" w:themeFill="accent6" w:themeFillTint="66"/>
          </w:tcPr>
          <w:p w14:paraId="563A8A8E"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8</w:t>
            </w:r>
          </w:p>
        </w:tc>
        <w:tc>
          <w:tcPr>
            <w:tcW w:w="1701" w:type="dxa"/>
            <w:shd w:val="clear" w:color="auto" w:fill="E36C0A" w:themeFill="accent6" w:themeFillShade="BF"/>
          </w:tcPr>
          <w:p w14:paraId="1EE25F00"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10</w:t>
            </w:r>
          </w:p>
        </w:tc>
      </w:tr>
      <w:tr w:rsidR="003C5839" w:rsidRPr="00216D93" w14:paraId="3510BC7C" w14:textId="77777777" w:rsidTr="00FD207C">
        <w:tc>
          <w:tcPr>
            <w:tcW w:w="2738" w:type="dxa"/>
          </w:tcPr>
          <w:p w14:paraId="15CE2E39"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3 Medical</w:t>
            </w:r>
          </w:p>
        </w:tc>
        <w:tc>
          <w:tcPr>
            <w:tcW w:w="1275" w:type="dxa"/>
            <w:shd w:val="clear" w:color="auto" w:fill="92D050"/>
          </w:tcPr>
          <w:p w14:paraId="21CFFF6D"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3</w:t>
            </w:r>
          </w:p>
        </w:tc>
        <w:tc>
          <w:tcPr>
            <w:tcW w:w="1471" w:type="dxa"/>
            <w:shd w:val="clear" w:color="auto" w:fill="FBD4B4" w:themeFill="accent6" w:themeFillTint="66"/>
          </w:tcPr>
          <w:p w14:paraId="4386AD59"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6</w:t>
            </w:r>
          </w:p>
        </w:tc>
        <w:tc>
          <w:tcPr>
            <w:tcW w:w="1506" w:type="dxa"/>
            <w:shd w:val="clear" w:color="auto" w:fill="FBD4B4" w:themeFill="accent6" w:themeFillTint="66"/>
          </w:tcPr>
          <w:p w14:paraId="20B50461"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9</w:t>
            </w:r>
          </w:p>
        </w:tc>
        <w:tc>
          <w:tcPr>
            <w:tcW w:w="1418" w:type="dxa"/>
            <w:shd w:val="clear" w:color="auto" w:fill="E36C0A" w:themeFill="accent6" w:themeFillShade="BF"/>
          </w:tcPr>
          <w:p w14:paraId="5B75B6EF"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12</w:t>
            </w:r>
          </w:p>
        </w:tc>
        <w:tc>
          <w:tcPr>
            <w:tcW w:w="1701" w:type="dxa"/>
            <w:shd w:val="clear" w:color="auto" w:fill="E36C0A" w:themeFill="accent6" w:themeFillShade="BF"/>
          </w:tcPr>
          <w:p w14:paraId="4DF7C36B"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15</w:t>
            </w:r>
          </w:p>
        </w:tc>
      </w:tr>
      <w:tr w:rsidR="003C5839" w:rsidRPr="00216D93" w14:paraId="37E2917E" w14:textId="77777777" w:rsidTr="00FD207C">
        <w:tc>
          <w:tcPr>
            <w:tcW w:w="2738" w:type="dxa"/>
          </w:tcPr>
          <w:p w14:paraId="5E1BA801"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4 Major</w:t>
            </w:r>
          </w:p>
        </w:tc>
        <w:tc>
          <w:tcPr>
            <w:tcW w:w="1275" w:type="dxa"/>
            <w:shd w:val="clear" w:color="auto" w:fill="92D050"/>
          </w:tcPr>
          <w:p w14:paraId="660908BA"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4</w:t>
            </w:r>
          </w:p>
        </w:tc>
        <w:tc>
          <w:tcPr>
            <w:tcW w:w="1471" w:type="dxa"/>
            <w:shd w:val="clear" w:color="auto" w:fill="FBD4B4" w:themeFill="accent6" w:themeFillTint="66"/>
          </w:tcPr>
          <w:p w14:paraId="03A0A3A9"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8</w:t>
            </w:r>
          </w:p>
        </w:tc>
        <w:tc>
          <w:tcPr>
            <w:tcW w:w="1506" w:type="dxa"/>
            <w:shd w:val="clear" w:color="auto" w:fill="E36C0A" w:themeFill="accent6" w:themeFillShade="BF"/>
          </w:tcPr>
          <w:p w14:paraId="44B346F0"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12</w:t>
            </w:r>
          </w:p>
        </w:tc>
        <w:tc>
          <w:tcPr>
            <w:tcW w:w="1418" w:type="dxa"/>
            <w:shd w:val="clear" w:color="auto" w:fill="E36C0A" w:themeFill="accent6" w:themeFillShade="BF"/>
          </w:tcPr>
          <w:p w14:paraId="2CB53609"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16</w:t>
            </w:r>
          </w:p>
        </w:tc>
        <w:tc>
          <w:tcPr>
            <w:tcW w:w="1701" w:type="dxa"/>
            <w:shd w:val="clear" w:color="auto" w:fill="FF0000"/>
          </w:tcPr>
          <w:p w14:paraId="3EE6D0BC"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20</w:t>
            </w:r>
          </w:p>
        </w:tc>
      </w:tr>
      <w:tr w:rsidR="003C5839" w:rsidRPr="00216D93" w14:paraId="5A8F6A0B" w14:textId="77777777" w:rsidTr="00FD207C">
        <w:tc>
          <w:tcPr>
            <w:tcW w:w="2738" w:type="dxa"/>
          </w:tcPr>
          <w:p w14:paraId="09F45669"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5 Fatal</w:t>
            </w:r>
          </w:p>
        </w:tc>
        <w:tc>
          <w:tcPr>
            <w:tcW w:w="1275" w:type="dxa"/>
            <w:shd w:val="clear" w:color="auto" w:fill="FBD4B4" w:themeFill="accent6" w:themeFillTint="66"/>
          </w:tcPr>
          <w:p w14:paraId="7DA3A021"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5</w:t>
            </w:r>
          </w:p>
        </w:tc>
        <w:tc>
          <w:tcPr>
            <w:tcW w:w="1471" w:type="dxa"/>
            <w:shd w:val="clear" w:color="auto" w:fill="E36C0A" w:themeFill="accent6" w:themeFillShade="BF"/>
          </w:tcPr>
          <w:p w14:paraId="094315B7"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10</w:t>
            </w:r>
          </w:p>
        </w:tc>
        <w:tc>
          <w:tcPr>
            <w:tcW w:w="1506" w:type="dxa"/>
            <w:shd w:val="clear" w:color="auto" w:fill="E36C0A" w:themeFill="accent6" w:themeFillShade="BF"/>
          </w:tcPr>
          <w:p w14:paraId="6DA4CD64"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15</w:t>
            </w:r>
          </w:p>
        </w:tc>
        <w:tc>
          <w:tcPr>
            <w:tcW w:w="1418" w:type="dxa"/>
            <w:shd w:val="clear" w:color="auto" w:fill="FF0000"/>
          </w:tcPr>
          <w:p w14:paraId="66687335"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20</w:t>
            </w:r>
          </w:p>
        </w:tc>
        <w:tc>
          <w:tcPr>
            <w:tcW w:w="1701" w:type="dxa"/>
            <w:shd w:val="clear" w:color="auto" w:fill="FF0000"/>
          </w:tcPr>
          <w:p w14:paraId="50189816" w14:textId="77777777" w:rsidR="003C5839" w:rsidRPr="00216D93" w:rsidRDefault="003C5839" w:rsidP="00FD207C">
            <w:pPr>
              <w:rPr>
                <w:rFonts w:ascii="Aptos Display" w:hAnsi="Aptos Display"/>
                <w:sz w:val="20"/>
                <w:szCs w:val="20"/>
              </w:rPr>
            </w:pPr>
            <w:r w:rsidRPr="00216D93">
              <w:rPr>
                <w:rFonts w:ascii="Aptos" w:hAnsi="Aptos" w:eastAsia="Aptos" w:cs="Aptos"/>
                <w:sz w:val="20"/>
                <w:szCs w:val="20"/>
              </w:rPr>
              <w:t>25</w:t>
            </w:r>
          </w:p>
        </w:tc>
      </w:tr>
    </w:tbl>
    <w:p w14:paraId="4AE410F8" w14:textId="77777777" w:rsidR="003C5839" w:rsidRPr="00216D93" w:rsidRDefault="003C5839" w:rsidP="003C5839">
      <w:pPr>
        <w:rPr>
          <w:rFonts w:ascii="Aptos Display" w:hAnsi="Aptos Display"/>
          <w:sz w:val="20"/>
          <w:szCs w:val="20"/>
        </w:rPr>
      </w:pPr>
    </w:p>
    <w:p w14:paraId="2A6BE64B" w14:textId="77777777" w:rsidR="003C5839" w:rsidRPr="00216D93" w:rsidRDefault="003C5839" w:rsidP="003C5839">
      <w:pPr>
        <w:rPr>
          <w:rFonts w:ascii="Aptos Display" w:hAnsi="Aptos Display"/>
          <w:sz w:val="20"/>
          <w:szCs w:val="20"/>
        </w:rPr>
      </w:pPr>
      <w:r w:rsidRPr="00216D93">
        <w:rPr>
          <w:rFonts w:ascii="Aptos" w:hAnsi="Aptos" w:eastAsia="Aptos" w:cs="Aptos"/>
          <w:sz w:val="20"/>
          <w:szCs w:val="20"/>
        </w:rPr>
        <w:t>Risk bands: 1–4 Low | 5–9 Medium | 10–16 High | 17–25 Intolerable</w:t>
      </w:r>
    </w:p>
    <w:p w14:paraId="0236502F" w14:textId="77777777" w:rsidR="00E532DD" w:rsidRPr="003C5839" w:rsidRDefault="00000000">
      <w:pPr>
        <w:pStyle w:val="Heading2"/>
        <w:rPr>
          <w:rFonts w:ascii="Aptos Display" w:hAnsi="Aptos Display"/>
          <w:color w:val="auto"/>
          <w:sz w:val="20"/>
          <w:szCs w:val="20"/>
        </w:rPr>
      </w:pPr>
      <w:r w:rsidRPr="003C5839">
        <w:rPr>
          <w:rFonts w:ascii="Aptos" w:hAnsi="Aptos" w:eastAsia="Aptos" w:cs="Aptos"/>
          <w:color w:val="auto"/>
          <w:sz w:val="20"/>
          <w:szCs w:val="20"/>
        </w:rPr>
        <w:t>7. Relevant UK Legislation &amp; Guidance</w:t>
      </w:r>
    </w:p>
    <w:p w14:paraId="78AEB9A4" w14:textId="77777777" w:rsidR="00E532DD" w:rsidRPr="003C5839" w:rsidRDefault="00000000" w:rsidP="003C5839">
      <w:pPr>
        <w:spacing w:after="0"/>
        <w:rPr>
          <w:rFonts w:ascii="Aptos Display" w:hAnsi="Aptos Display"/>
          <w:sz w:val="20"/>
          <w:szCs w:val="20"/>
        </w:rPr>
      </w:pPr>
      <w:r w:rsidRPr="003C5839">
        <w:rPr>
          <w:rFonts w:ascii="Aptos" w:hAnsi="Aptos" w:eastAsia="Aptos" w:cs="Aptos"/>
          <w:sz w:val="20"/>
          <w:szCs w:val="20"/>
        </w:rPr>
        <w:t>Health and Safety at Work etc. Act 1974</w:t>
      </w:r>
    </w:p>
    <w:p w14:paraId="6214CCFA" w14:textId="77777777" w:rsidR="00E532DD" w:rsidRPr="003C5839" w:rsidRDefault="00000000" w:rsidP="003C5839">
      <w:pPr>
        <w:spacing w:after="0"/>
        <w:rPr>
          <w:rFonts w:ascii="Aptos Display" w:hAnsi="Aptos Display"/>
          <w:sz w:val="20"/>
          <w:szCs w:val="20"/>
        </w:rPr>
      </w:pPr>
      <w:r w:rsidRPr="003C5839">
        <w:rPr>
          <w:rFonts w:ascii="Aptos" w:hAnsi="Aptos" w:eastAsia="Aptos" w:cs="Aptos"/>
          <w:sz w:val="20"/>
          <w:szCs w:val="20"/>
        </w:rPr>
        <w:t>Management of Health and Safety at Work Regulations 1999</w:t>
      </w:r>
    </w:p>
    <w:p w14:paraId="53088217" w14:textId="77777777" w:rsidR="00E532DD" w:rsidRPr="003C5839" w:rsidRDefault="00000000" w:rsidP="003C5839">
      <w:pPr>
        <w:spacing w:after="0"/>
        <w:rPr>
          <w:rFonts w:ascii="Aptos Display" w:hAnsi="Aptos Display"/>
          <w:sz w:val="20"/>
          <w:szCs w:val="20"/>
        </w:rPr>
      </w:pPr>
      <w:r w:rsidRPr="003C5839">
        <w:rPr>
          <w:rFonts w:ascii="Aptos" w:hAnsi="Aptos" w:eastAsia="Aptos" w:cs="Aptos"/>
          <w:sz w:val="20"/>
          <w:szCs w:val="20"/>
        </w:rPr>
        <w:t>Provision and Use of Work Equipment Regulations 1998 (PUWER)</w:t>
      </w:r>
    </w:p>
    <w:p w14:paraId="08737C15" w14:textId="77777777" w:rsidR="00E532DD" w:rsidRPr="003C5839" w:rsidRDefault="00000000" w:rsidP="003C5839">
      <w:pPr>
        <w:spacing w:after="0"/>
        <w:rPr>
          <w:rFonts w:ascii="Aptos Display" w:hAnsi="Aptos Display"/>
          <w:sz w:val="20"/>
          <w:szCs w:val="20"/>
        </w:rPr>
      </w:pPr>
      <w:r w:rsidRPr="003C5839">
        <w:rPr>
          <w:rFonts w:ascii="Aptos" w:hAnsi="Aptos" w:eastAsia="Aptos" w:cs="Aptos"/>
          <w:sz w:val="20"/>
          <w:szCs w:val="20"/>
        </w:rPr>
        <w:t>Control of Noise at Work Regulations 2005 (where applicable)</w:t>
      </w:r>
    </w:p>
    <w:p w14:paraId="516BEF4B" w14:textId="77777777" w:rsidR="00E532DD" w:rsidRPr="003C5839" w:rsidRDefault="00000000" w:rsidP="003C5839">
      <w:pPr>
        <w:spacing w:after="0"/>
        <w:rPr>
          <w:rFonts w:ascii="Aptos Display" w:hAnsi="Aptos Display"/>
          <w:sz w:val="20"/>
          <w:szCs w:val="20"/>
        </w:rPr>
      </w:pPr>
      <w:r w:rsidRPr="003C5839">
        <w:rPr>
          <w:rFonts w:ascii="Aptos" w:hAnsi="Aptos" w:eastAsia="Aptos" w:cs="Aptos"/>
          <w:sz w:val="20"/>
          <w:szCs w:val="20"/>
        </w:rPr>
        <w:t>Control of Vibration at Work Regulations 2005 (where applicable)</w:t>
      </w:r>
    </w:p>
    <w:p w14:paraId="34C7FCE5" w14:textId="77777777" w:rsidR="00E532DD" w:rsidRPr="003C5839" w:rsidRDefault="00000000" w:rsidP="003C5839">
      <w:pPr>
        <w:spacing w:after="0"/>
        <w:rPr>
          <w:rFonts w:ascii="Aptos Display" w:hAnsi="Aptos Display"/>
          <w:sz w:val="20"/>
          <w:szCs w:val="20"/>
        </w:rPr>
      </w:pPr>
      <w:r w:rsidRPr="003C5839">
        <w:rPr>
          <w:rFonts w:ascii="Aptos" w:hAnsi="Aptos" w:eastAsia="Aptos" w:cs="Aptos"/>
          <w:sz w:val="20"/>
          <w:szCs w:val="20"/>
        </w:rPr>
        <w:t>Control of Substances Hazardous to Health Regulations 2002 (COSHH)</w:t>
      </w:r>
    </w:p>
    <w:p w14:paraId="773D9F33" w14:textId="77777777" w:rsidR="00E532DD" w:rsidRPr="003C5839" w:rsidRDefault="00000000" w:rsidP="003C5839">
      <w:pPr>
        <w:spacing w:after="0"/>
        <w:rPr>
          <w:rFonts w:ascii="Aptos Display" w:hAnsi="Aptos Display"/>
          <w:sz w:val="20"/>
          <w:szCs w:val="20"/>
        </w:rPr>
      </w:pPr>
      <w:r w:rsidRPr="003C5839">
        <w:rPr>
          <w:rFonts w:ascii="Aptos" w:hAnsi="Aptos" w:eastAsia="Aptos" w:cs="Aptos"/>
          <w:sz w:val="20"/>
          <w:szCs w:val="20"/>
        </w:rPr>
        <w:t>Electricity at Work Regulations 1989 (where applicable)</w:t>
      </w:r>
    </w:p>
    <w:p w14:paraId="121168B5" w14:textId="0991B957" w:rsidR="00E532DD" w:rsidRPr="003C5839" w:rsidRDefault="00000000" w:rsidP="003C5839">
      <w:pPr>
        <w:spacing w:after="0"/>
        <w:rPr>
          <w:rFonts w:ascii="Aptos Display" w:hAnsi="Aptos Display"/>
          <w:sz w:val="20"/>
          <w:szCs w:val="20"/>
        </w:rPr>
      </w:pPr>
      <w:r w:rsidRPr="003C5839">
        <w:rPr>
          <w:rFonts w:ascii="Aptos" w:hAnsi="Aptos" w:eastAsia="Aptos" w:cs="Aptos"/>
          <w:sz w:val="20"/>
          <w:szCs w:val="20"/>
        </w:rPr>
        <w:t xml:space="preserve">HSE HSG47 – Avoiding Danger from Underground Services (where </w:t>
      </w:r>
      <w:r w:rsidR="003C5839" w:rsidRPr="003C5839">
        <w:rPr>
          <w:rFonts w:ascii="Aptos" w:hAnsi="Aptos" w:eastAsia="Aptos" w:cs="Aptos"/>
          <w:sz w:val="20"/>
          <w:szCs w:val="20"/>
        </w:rPr>
        <w:t>groundbreaking</w:t>
      </w:r>
      <w:r w:rsidRPr="003C5839">
        <w:rPr>
          <w:rFonts w:ascii="Aptos" w:hAnsi="Aptos" w:eastAsia="Aptos" w:cs="Aptos"/>
          <w:sz w:val="20"/>
          <w:szCs w:val="20"/>
        </w:rPr>
        <w:t xml:space="preserve"> involved)</w:t>
      </w:r>
    </w:p>
    <w:p w14:paraId="40EAA0ED" w14:textId="77777777" w:rsidR="00E532DD" w:rsidRPr="003C5839" w:rsidRDefault="00000000" w:rsidP="003C5839">
      <w:pPr>
        <w:spacing w:after="0"/>
        <w:rPr>
          <w:rFonts w:ascii="Aptos Display" w:hAnsi="Aptos Display"/>
          <w:sz w:val="20"/>
          <w:szCs w:val="20"/>
        </w:rPr>
      </w:pPr>
      <w:r w:rsidRPr="003C5839">
        <w:rPr>
          <w:rFonts w:ascii="Aptos" w:hAnsi="Aptos" w:eastAsia="Aptos" w:cs="Aptos"/>
          <w:sz w:val="20"/>
          <w:szCs w:val="20"/>
        </w:rPr>
        <w:t>FISA 802 – Emergency Planning</w:t>
      </w:r>
    </w:p>
    <w:p w14:paraId="042C6E48" w14:textId="77777777" w:rsidR="00E532DD" w:rsidRPr="003C5839" w:rsidRDefault="00000000" w:rsidP="003C5839">
      <w:pPr>
        <w:spacing w:after="0"/>
        <w:rPr>
          <w:rFonts w:ascii="Aptos Display" w:hAnsi="Aptos Display"/>
          <w:sz w:val="20"/>
          <w:szCs w:val="20"/>
        </w:rPr>
      </w:pPr>
      <w:r w:rsidRPr="003C5839">
        <w:rPr>
          <w:rFonts w:ascii="Aptos" w:hAnsi="Aptos" w:eastAsia="Aptos" w:cs="Aptos"/>
          <w:sz w:val="20"/>
          <w:szCs w:val="20"/>
        </w:rPr>
        <w:t>FISA 805 – Training and Certification</w:t>
      </w:r>
    </w:p>
    <w:p w14:paraId="378F6CE4" w14:textId="77777777" w:rsidR="00E532DD" w:rsidRPr="003C5839" w:rsidRDefault="00000000">
      <w:pPr>
        <w:pStyle w:val="Heading2"/>
        <w:rPr>
          <w:rFonts w:ascii="Aptos Display" w:hAnsi="Aptos Display"/>
          <w:color w:val="auto"/>
          <w:sz w:val="20"/>
          <w:szCs w:val="20"/>
        </w:rPr>
      </w:pPr>
      <w:r w:rsidRPr="003C5839">
        <w:rPr>
          <w:rFonts w:ascii="Aptos" w:hAnsi="Aptos" w:eastAsia="Aptos" w:cs="Aptos"/>
          <w:color w:val="auto"/>
          <w:sz w:val="20"/>
          <w:szCs w:val="20"/>
        </w:rPr>
        <w:t>8. Hazards &amp; Control Measures</w:t>
      </w:r>
    </w:p>
    <w:tbl>
      <w:tblPr>
        <w:tblW w:w="0" w:type="auto"/>
        <w:jc w:val="center"/>
        <w:tblLayout w:type="fixed"/>
        <w:tblLook w:val="04A0" w:firstRow="1" w:lastRow="0" w:firstColumn="1" w:lastColumn="0" w:noHBand="0" w:noVBand="1"/>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1674"/>
        <w:gridCol w:w="1536"/>
        <w:gridCol w:w="2086"/>
        <w:gridCol w:w="840"/>
        <w:gridCol w:w="839"/>
        <w:gridCol w:w="1104"/>
        <w:gridCol w:w="3566"/>
        <w:gridCol w:w="1305"/>
        <w:gridCol w:w="720"/>
        <w:gridCol w:w="936"/>
      </w:tblGrid>
      <w:tr w:rsidR="003C5839" w:rsidRPr="003C5839" w14:paraId="124881E2" w14:textId="77777777" w:rsidTr="003C5839">
        <w:trPr>
          <w:jc w:val="center"/>
          <w:tblHeader w:val="true"/>
          <w:cantSplit/>
        </w:trPr>
        <w:tc>
          <w:tcPr>
            <w:tcW w:w="1368"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Hazard</w:t>
            </w:r>
          </w:p>
        </w:tc>
        <w:tc>
          <w:tcPr>
            <w:tcW w:w="1080"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Persons at Risk</w:t>
            </w:r>
          </w:p>
        </w:tc>
        <w:tc>
          <w:tcPr>
            <w:tcW w:w="1584"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How Harm May Occur</w:t>
            </w:r>
          </w:p>
        </w:tc>
        <w:tc>
          <w:tcPr>
            <w:tcW w:w="576"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L</w:t>
            </w:r>
          </w:p>
        </w:tc>
        <w:tc>
          <w:tcPr>
            <w:tcW w:w="576"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S</w:t>
            </w:r>
          </w:p>
        </w:tc>
        <w:tc>
          <w:tcPr>
            <w:tcW w:w="835"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L×S</w:t>
            </w:r>
          </w:p>
        </w:tc>
        <w:tc>
          <w:tcPr>
            <w:tcW w:w="4104"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Control Measures</w:t>
            </w:r>
          </w:p>
        </w:tc>
        <w:tc>
          <w:tcPr>
            <w:tcW w:w="720"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Res. L</w:t>
            </w:r>
          </w:p>
        </w:tc>
        <w:tc>
          <w:tcPr>
            <w:tcW w:type="dxa" w:w="720"/>
            <w:vAlign w:val="center"/>
            <w:shd w:fill="5E4B56"/>
          </w:tcPr>
          <w:p>
            <w:pPr>
              <w:spacing w:after="0" w:line="240" w:lineRule="auto"/>
              <w:jc w:val="center"/>
            </w:pPr>
            <w:r>
              <w:rPr>
                <w:rFonts w:ascii="Aptos" w:hAnsi="Aptos" w:eastAsia="Aptos" w:cs="Aptos"/>
                <w:sz w:val="20"/>
              </w:rPr>
            </w:r>
            <w:r>
              <w:rPr>
                <w:rFonts w:ascii="Aptos" w:hAnsi="Aptos" w:eastAsia="Aptos" w:cs="Aptos"/>
                <w:b/>
                <w:color w:val="FFFFFF"/>
                <w:sz w:val="20"/>
              </w:rPr>
              <w:t>Res. S</w:t>
            </w:r>
          </w:p>
        </w:tc>
        <w:tc>
          <w:tcPr>
            <w:tcW w:type="dxa" w:w="936"/>
            <w:vAlign w:val="center"/>
            <w:shd w:fill="5E4B56"/>
          </w:tcPr>
          <w:p>
            <w:pPr>
              <w:spacing w:after="0" w:line="240" w:lineRule="auto"/>
              <w:jc w:val="center"/>
            </w:pPr>
            <w:r>
              <w:rPr>
                <w:rFonts w:ascii="Aptos" w:hAnsi="Aptos" w:eastAsia="Aptos" w:cs="Aptos"/>
                <w:sz w:val="20"/>
              </w:rPr>
            </w:r>
            <w:r>
              <w:rPr>
                <w:rFonts w:ascii="Aptos" w:hAnsi="Aptos" w:eastAsia="Aptos" w:cs="Aptos"/>
                <w:b/>
                <w:color w:val="FFFFFF"/>
                <w:sz w:val="20"/>
              </w:rPr>
              <w:t>Res. L×S</w:t>
            </w:r>
          </w:p>
        </w:tc>
      </w:tr>
      <w:tr w:rsidR="003C5839" w:rsidRPr="003C5839" w14:paraId="487302A7" w14:textId="77777777" w:rsidTr="003C5839">
        <w:trPr>
          <w:jc w:val="center"/>
          <w:cantSplit/>
        </w:trPr>
        <w:tc>
          <w:tcPr>
            <w:tcW w:w="1368" w:type="dxa"/>
            <w:shd w:fill="FFFFFF"/>
          </w:tcPr>
          <w:p w14:paraId="02AB83F0"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Incorrect use of hand tools</w:t>
            </w:r>
          </w:p>
        </w:tc>
        <w:tc>
          <w:tcPr>
            <w:tcW w:w="1080" w:type="dxa"/>
            <w:shd w:fill="FFFFFF"/>
          </w:tcPr>
          <w:p w14:paraId="08F13095"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Operator, others</w:t>
            </w:r>
          </w:p>
        </w:tc>
        <w:tc>
          <w:tcPr>
            <w:tcW w:w="1584" w:type="dxa"/>
            <w:shd w:fill="FFFFFF"/>
          </w:tcPr>
          <w:p w14:paraId="27E185EC"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Lacerations, puncture wounds, impact injuries</w:t>
            </w:r>
          </w:p>
        </w:tc>
        <w:tc>
          <w:tcPr>
            <w:tcW w:w="576" w:type="dxa"/>
            <w:shd w:val="clear" w:color="auto" w:fill="FFFFFF"/>
          </w:tcPr>
          <w:p w14:paraId="11DB6547" w14:textId="77777777" w:rsidR="00E532DD" w:rsidRPr="003C5839" w:rsidRDefault="00000000">
            <w:pPr>
              <w:spacing w:after="0" w:line="240" w:lineRule="auto"/>
              <w:jc w:val="center"/>
              <w:rPr>
                <w:rFonts w:ascii="Aptos Display" w:hAnsi="Aptos Display"/>
                <w:sz w:val="20"/>
                <w:szCs w:val="20"/>
              </w:rPr>
            </w:pPr>
            <w:r w:rsidRPr="003C5839">
              <w:rPr>
                <w:rFonts w:ascii="Aptos" w:hAnsi="Aptos" w:eastAsia="Aptos" w:cs="Aptos"/>
                <w:sz w:val="20"/>
                <w:szCs w:val="20"/>
              </w:rPr>
              <w:t>3</w:t>
            </w:r>
          </w:p>
        </w:tc>
        <w:tc>
          <w:tcPr>
            <w:tcW w:w="576" w:type="dxa"/>
            <w:shd w:val="clear" w:color="auto" w:fill="FFFFFF"/>
          </w:tcPr>
          <w:p w14:paraId="28C90204" w14:textId="77777777" w:rsidR="00E532DD" w:rsidRPr="003C5839" w:rsidRDefault="00000000">
            <w:pPr>
              <w:spacing w:after="0" w:line="240" w:lineRule="auto"/>
              <w:jc w:val="center"/>
              <w:rPr>
                <w:rFonts w:ascii="Aptos Display" w:hAnsi="Aptos Display"/>
                <w:sz w:val="20"/>
                <w:szCs w:val="20"/>
              </w:rPr>
            </w:pPr>
            <w:r w:rsidRPr="003C5839">
              <w:rPr>
                <w:rFonts w:ascii="Aptos" w:hAnsi="Aptos" w:eastAsia="Aptos" w:cs="Aptos"/>
                <w:sz w:val="20"/>
                <w:szCs w:val="20"/>
              </w:rPr>
              <w:t>4</w:t>
            </w:r>
          </w:p>
        </w:tc>
        <w:tc>
          <w:tcPr>
            <w:tcW w:w="835" w:type="dxa"/>
            <w:shd w:val="clear" w:color="auto" w:fill="ED7D31" w:themeFill="accent6" w:themeFillShade="BF"/>
          </w:tcPr>
          <w:p w14:paraId="425F0B8A" w14:textId="77777777" w:rsidR="00E532DD" w:rsidRPr="003C5839" w:rsidRDefault="00000000">
            <w:pPr>
              <w:spacing w:after="0" w:line="240" w:lineRule="auto"/>
              <w:jc w:val="center"/>
              <w:rPr>
                <w:rFonts w:ascii="Aptos Display" w:hAnsi="Aptos Display"/>
                <w:sz w:val="20"/>
                <w:szCs w:val="20"/>
              </w:rPr>
            </w:pPr>
            <w:r w:rsidRPr="003C5839">
              <w:rPr>
                <w:rFonts w:ascii="Aptos" w:hAnsi="Aptos" w:eastAsia="Aptos" w:cs="Aptos"/>
                <w:color w:val="FFFFFF"/>
                <w:sz w:val="20"/>
                <w:szCs w:val="20"/>
              </w:rPr>
              <w:t>12</w:t>
            </w:r>
          </w:p>
        </w:tc>
        <w:tc>
          <w:tcPr>
            <w:tcW w:w="4104" w:type="dxa"/>
            <w:shd w:fill="FFFFFF"/>
          </w:tcPr>
          <w:p w14:paraId="534A722E" w14:textId="1EF74663"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Operators trained and competent; tools used only for intended purpose; no makeshift tools; secure grip maintained; stable footing ensured; cutting away from body; dynamic risk assessment undertaken; supervision by Team Leader.</w:t>
            </w:r>
            <w:r w:rsidR="00AD4191">
              <w:rPr>
                <w:rFonts w:ascii="Aptos" w:hAnsi="Aptos" w:eastAsia="Aptos" w:cs="Aptos"/>
                <w:sz w:val="20"/>
              </w:rPr>
              <w:t xml:space="preserve"> </w:t>
            </w:r>
            <w:r w:rsidR="00AD4191" w:rsidRPr="00AD4191">
              <w:rPr>
                <w:rFonts w:ascii="Aptos" w:hAnsi="Aptos" w:eastAsia="Aptos" w:cs="Aptos"/>
                <w:sz w:val="20"/>
                <w:szCs w:val="20"/>
              </w:rPr>
              <w:t>Maintain safe working distance between operatives; do not pass tools hand-to-hand while in use; tools transported in a safe manner when moving between work areas.</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3C5839" w:rsidRPr="003C5839" w14:paraId="2163E74D" w14:textId="77777777" w:rsidTr="003C5839">
        <w:trPr>
          <w:jc w:val="center"/>
          <w:cantSplit/>
        </w:trPr>
        <w:tc>
          <w:tcPr>
            <w:tcW w:w="1368" w:type="dxa"/>
            <w:shd w:fill="F4F0F7"/>
          </w:tcPr>
          <w:p w14:paraId="7F39AB23"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Defective or poorly maintained tools</w:t>
            </w:r>
          </w:p>
        </w:tc>
        <w:tc>
          <w:tcPr>
            <w:tcW w:w="1080" w:type="dxa"/>
            <w:shd w:fill="F4F0F7"/>
          </w:tcPr>
          <w:p w14:paraId="62676230"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Operator, others</w:t>
            </w:r>
          </w:p>
        </w:tc>
        <w:tc>
          <w:tcPr>
            <w:tcW w:w="1584" w:type="dxa"/>
            <w:shd w:fill="F4F0F7"/>
          </w:tcPr>
          <w:p w14:paraId="332EAAAC"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Tool failure causing injury</w:t>
            </w:r>
          </w:p>
        </w:tc>
        <w:tc>
          <w:tcPr>
            <w:tcW w:w="576" w:type="dxa"/>
            <w:shd w:val="clear" w:color="auto" w:fill="F4F0F7"/>
          </w:tcPr>
          <w:p w14:paraId="20565D28" w14:textId="77777777" w:rsidR="00E532DD" w:rsidRPr="003C5839" w:rsidRDefault="00000000">
            <w:pPr>
              <w:spacing w:after="0" w:line="240" w:lineRule="auto"/>
              <w:jc w:val="center"/>
              <w:rPr>
                <w:rFonts w:ascii="Aptos Display" w:hAnsi="Aptos Display"/>
                <w:sz w:val="20"/>
                <w:szCs w:val="20"/>
              </w:rPr>
            </w:pPr>
            <w:r w:rsidRPr="003C5839">
              <w:rPr>
                <w:rFonts w:ascii="Aptos" w:hAnsi="Aptos" w:eastAsia="Aptos" w:cs="Aptos"/>
                <w:sz w:val="20"/>
                <w:szCs w:val="20"/>
              </w:rPr>
              <w:t>3</w:t>
            </w:r>
          </w:p>
        </w:tc>
        <w:tc>
          <w:tcPr>
            <w:tcW w:w="576" w:type="dxa"/>
            <w:shd w:val="clear" w:color="auto" w:fill="F4F0F7"/>
          </w:tcPr>
          <w:p w14:paraId="2C4084C0" w14:textId="77777777" w:rsidR="00E532DD" w:rsidRPr="003C5839" w:rsidRDefault="00000000">
            <w:pPr>
              <w:spacing w:after="0" w:line="240" w:lineRule="auto"/>
              <w:jc w:val="center"/>
              <w:rPr>
                <w:rFonts w:ascii="Aptos Display" w:hAnsi="Aptos Display"/>
                <w:sz w:val="20"/>
                <w:szCs w:val="20"/>
              </w:rPr>
            </w:pPr>
            <w:r w:rsidRPr="003C5839">
              <w:rPr>
                <w:rFonts w:ascii="Aptos" w:hAnsi="Aptos" w:eastAsia="Aptos" w:cs="Aptos"/>
                <w:sz w:val="20"/>
                <w:szCs w:val="20"/>
              </w:rPr>
              <w:t>4</w:t>
            </w:r>
          </w:p>
        </w:tc>
        <w:tc>
          <w:tcPr>
            <w:tcW w:w="835" w:type="dxa"/>
            <w:shd w:val="clear" w:color="auto" w:fill="ED7D31" w:themeFill="accent6" w:themeFillShade="BF"/>
          </w:tcPr>
          <w:p w14:paraId="42317C96" w14:textId="77777777" w:rsidR="00E532DD" w:rsidRPr="003C5839" w:rsidRDefault="00000000">
            <w:pPr>
              <w:spacing w:after="0" w:line="240" w:lineRule="auto"/>
              <w:jc w:val="center"/>
              <w:rPr>
                <w:rFonts w:ascii="Aptos Display" w:hAnsi="Aptos Display"/>
                <w:sz w:val="20"/>
                <w:szCs w:val="20"/>
              </w:rPr>
            </w:pPr>
            <w:r w:rsidRPr="003C5839">
              <w:rPr>
                <w:rFonts w:ascii="Aptos" w:hAnsi="Aptos" w:eastAsia="Aptos" w:cs="Aptos"/>
                <w:color w:val="FFFFFF"/>
                <w:sz w:val="20"/>
                <w:szCs w:val="20"/>
              </w:rPr>
              <w:t>12</w:t>
            </w:r>
          </w:p>
        </w:tc>
        <w:tc>
          <w:tcPr>
            <w:tcW w:w="4104" w:type="dxa"/>
            <w:shd w:fill="F4F0F7"/>
          </w:tcPr>
          <w:p w14:paraId="7F85613A"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Pre-use inspection completed; handles secure; blades sharp and undamaged; guards fitted; defective tools tagged and removed; maintenance records kept where required.</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3C5839" w:rsidRPr="003C5839" w14:paraId="315F8E72" w14:textId="77777777" w:rsidTr="003C5839">
        <w:trPr>
          <w:jc w:val="center"/>
          <w:cantSplit/>
        </w:trPr>
        <w:tc>
          <w:tcPr>
            <w:tcW w:w="1368" w:type="dxa"/>
            <w:shd w:fill="FFFFFF"/>
          </w:tcPr>
          <w:p w14:paraId="10AD47B2"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Striking tools causing flying fragments</w:t>
            </w:r>
          </w:p>
        </w:tc>
        <w:tc>
          <w:tcPr>
            <w:tcW w:w="1080" w:type="dxa"/>
            <w:shd w:fill="FFFFFF"/>
          </w:tcPr>
          <w:p w14:paraId="62A43F85"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Operator, nearby persons</w:t>
            </w:r>
          </w:p>
        </w:tc>
        <w:tc>
          <w:tcPr>
            <w:tcW w:w="1584" w:type="dxa"/>
            <w:shd w:fill="FFFFFF"/>
          </w:tcPr>
          <w:p w14:paraId="5225B293"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Eye injury from metal/wood fragments</w:t>
            </w:r>
          </w:p>
        </w:tc>
        <w:tc>
          <w:tcPr>
            <w:tcW w:w="576" w:type="dxa"/>
            <w:shd w:val="clear" w:color="auto" w:fill="FFFFFF"/>
          </w:tcPr>
          <w:p w14:paraId="0B408267" w14:textId="77777777" w:rsidR="00E532DD" w:rsidRPr="003C5839" w:rsidRDefault="00000000">
            <w:pPr>
              <w:spacing w:after="0" w:line="240" w:lineRule="auto"/>
              <w:jc w:val="center"/>
              <w:rPr>
                <w:rFonts w:ascii="Aptos Display" w:hAnsi="Aptos Display"/>
                <w:sz w:val="20"/>
                <w:szCs w:val="20"/>
              </w:rPr>
            </w:pPr>
            <w:r w:rsidRPr="003C5839">
              <w:rPr>
                <w:rFonts w:ascii="Aptos" w:hAnsi="Aptos" w:eastAsia="Aptos" w:cs="Aptos"/>
                <w:sz w:val="20"/>
                <w:szCs w:val="20"/>
              </w:rPr>
              <w:t>3</w:t>
            </w:r>
          </w:p>
        </w:tc>
        <w:tc>
          <w:tcPr>
            <w:tcW w:w="576" w:type="dxa"/>
            <w:shd w:val="clear" w:color="auto" w:fill="FFFFFF"/>
          </w:tcPr>
          <w:p w14:paraId="44D76A75" w14:textId="77777777" w:rsidR="00E532DD" w:rsidRPr="003C5839" w:rsidRDefault="00000000">
            <w:pPr>
              <w:spacing w:after="0" w:line="240" w:lineRule="auto"/>
              <w:jc w:val="center"/>
              <w:rPr>
                <w:rFonts w:ascii="Aptos Display" w:hAnsi="Aptos Display"/>
                <w:sz w:val="20"/>
                <w:szCs w:val="20"/>
              </w:rPr>
            </w:pPr>
            <w:r w:rsidRPr="003C5839">
              <w:rPr>
                <w:rFonts w:ascii="Aptos" w:hAnsi="Aptos" w:eastAsia="Aptos" w:cs="Aptos"/>
                <w:sz w:val="20"/>
                <w:szCs w:val="20"/>
              </w:rPr>
              <w:t>4</w:t>
            </w:r>
          </w:p>
        </w:tc>
        <w:tc>
          <w:tcPr>
            <w:tcW w:w="835" w:type="dxa"/>
            <w:shd w:val="clear" w:color="auto" w:fill="ED7D31" w:themeFill="accent6" w:themeFillShade="BF"/>
          </w:tcPr>
          <w:p w14:paraId="171BD775" w14:textId="77777777" w:rsidR="00E532DD" w:rsidRPr="003C5839" w:rsidRDefault="00000000">
            <w:pPr>
              <w:spacing w:after="0" w:line="240" w:lineRule="auto"/>
              <w:jc w:val="center"/>
              <w:rPr>
                <w:rFonts w:ascii="Aptos Display" w:hAnsi="Aptos Display"/>
                <w:sz w:val="20"/>
                <w:szCs w:val="20"/>
              </w:rPr>
            </w:pPr>
            <w:r w:rsidRPr="003C5839">
              <w:rPr>
                <w:rFonts w:ascii="Aptos" w:hAnsi="Aptos" w:eastAsia="Aptos" w:cs="Aptos"/>
                <w:color w:val="FFFFFF"/>
                <w:sz w:val="20"/>
                <w:szCs w:val="20"/>
              </w:rPr>
              <w:t>12</w:t>
            </w:r>
          </w:p>
        </w:tc>
        <w:tc>
          <w:tcPr>
            <w:tcW w:w="4104" w:type="dxa"/>
            <w:shd w:fill="FFFFFF"/>
          </w:tcPr>
          <w:p w14:paraId="22256BE3"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Eye protection worn; tools appropriate and undamaged; ensure secure striking surface; maintain safe working distance from others; exclusion zone where required.</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3C5839" w:rsidRPr="003C5839" w14:paraId="10E4B626" w14:textId="77777777" w:rsidTr="003C5839">
        <w:trPr>
          <w:jc w:val="center"/>
          <w:cantSplit/>
        </w:trPr>
        <w:tc>
          <w:tcPr>
            <w:tcW w:w="1368" w:type="dxa"/>
            <w:shd w:fill="F4F0F7"/>
          </w:tcPr>
          <w:p w14:paraId="39E86F13"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 xml:space="preserve">Ground breaking and contact with </w:t>
            </w:r>
            <w:r w:rsidRPr="003C5839">
              <w:rPr>
                <w:rFonts w:ascii="Aptos" w:hAnsi="Aptos" w:eastAsia="Aptos" w:cs="Aptos"/>
                <w:sz w:val="20"/>
                <w:szCs w:val="20"/>
              </w:rPr>
              <w:lastRenderedPageBreak/>
              <w:t>underground services</w:t>
            </w:r>
          </w:p>
        </w:tc>
        <w:tc>
          <w:tcPr>
            <w:tcW w:w="1080" w:type="dxa"/>
            <w:shd w:fill="F4F0F7"/>
          </w:tcPr>
          <w:p w14:paraId="24FA0691"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lastRenderedPageBreak/>
              <w:t>Operator, public</w:t>
            </w:r>
          </w:p>
        </w:tc>
        <w:tc>
          <w:tcPr>
            <w:tcW w:w="1584" w:type="dxa"/>
            <w:shd w:fill="F4F0F7"/>
          </w:tcPr>
          <w:p w14:paraId="26DABA46"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Electric shock, gas leak, water damage</w:t>
            </w:r>
          </w:p>
        </w:tc>
        <w:tc>
          <w:tcPr>
            <w:tcW w:w="576" w:type="dxa"/>
            <w:shd w:val="clear" w:color="auto" w:fill="F4F0F7"/>
          </w:tcPr>
          <w:p w14:paraId="3028E1DA" w14:textId="77777777" w:rsidR="00E532DD" w:rsidRPr="003C5839" w:rsidRDefault="00000000">
            <w:pPr>
              <w:spacing w:after="0" w:line="240" w:lineRule="auto"/>
              <w:jc w:val="center"/>
              <w:rPr>
                <w:rFonts w:ascii="Aptos Display" w:hAnsi="Aptos Display"/>
                <w:sz w:val="20"/>
                <w:szCs w:val="20"/>
              </w:rPr>
            </w:pPr>
            <w:r w:rsidRPr="003C5839">
              <w:rPr>
                <w:rFonts w:ascii="Aptos" w:hAnsi="Aptos" w:eastAsia="Aptos" w:cs="Aptos"/>
                <w:sz w:val="20"/>
                <w:szCs w:val="20"/>
              </w:rPr>
              <w:t>3</w:t>
            </w:r>
          </w:p>
        </w:tc>
        <w:tc>
          <w:tcPr>
            <w:tcW w:w="576" w:type="dxa"/>
            <w:shd w:val="clear" w:color="auto" w:fill="F4F0F7" w:themeFill="accent6" w:themeFillTint="33"/>
          </w:tcPr>
          <w:p w14:paraId="2B6D3A8B" w14:textId="77777777" w:rsidR="00E532DD" w:rsidRPr="003C5839" w:rsidRDefault="00000000">
            <w:pPr>
              <w:spacing w:after="0" w:line="240" w:lineRule="auto"/>
              <w:jc w:val="center"/>
              <w:rPr>
                <w:rFonts w:ascii="Aptos Display" w:hAnsi="Aptos Display"/>
                <w:sz w:val="20"/>
                <w:szCs w:val="20"/>
              </w:rPr>
            </w:pPr>
            <w:r w:rsidRPr="003C5839">
              <w:rPr>
                <w:rFonts w:ascii="Aptos" w:hAnsi="Aptos" w:eastAsia="Aptos" w:cs="Aptos"/>
                <w:sz w:val="20"/>
                <w:szCs w:val="20"/>
              </w:rPr>
              <w:t>5</w:t>
            </w:r>
          </w:p>
        </w:tc>
        <w:tc>
          <w:tcPr>
            <w:tcW w:w="835" w:type="dxa"/>
            <w:shd w:val="clear" w:color="auto" w:fill="ED7D31" w:themeFill="accent6" w:themeFillShade="BF"/>
          </w:tcPr>
          <w:p w14:paraId="186BB1E0" w14:textId="77777777" w:rsidR="00E532DD" w:rsidRPr="003C5839" w:rsidRDefault="00000000">
            <w:pPr>
              <w:spacing w:after="0" w:line="240" w:lineRule="auto"/>
              <w:jc w:val="center"/>
              <w:rPr>
                <w:rFonts w:ascii="Aptos Display" w:hAnsi="Aptos Display"/>
                <w:sz w:val="20"/>
                <w:szCs w:val="20"/>
              </w:rPr>
            </w:pPr>
            <w:r w:rsidRPr="003C5839">
              <w:rPr>
                <w:rFonts w:ascii="Aptos" w:hAnsi="Aptos" w:eastAsia="Aptos" w:cs="Aptos"/>
                <w:color w:val="FFFFFF"/>
                <w:sz w:val="20"/>
                <w:szCs w:val="20"/>
              </w:rPr>
              <w:t>15</w:t>
            </w:r>
          </w:p>
        </w:tc>
        <w:tc>
          <w:tcPr>
            <w:tcW w:w="4104" w:type="dxa"/>
            <w:shd w:fill="F4F0F7"/>
          </w:tcPr>
          <w:p w14:paraId="7693ADDF"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 xml:space="preserve">HSG47 followed; service plans reviewed; CAT &amp; Genny used by trained operator; trial holes dug by hand; permit-to-dig </w:t>
            </w:r>
            <w:r w:rsidRPr="003C5839">
              <w:rPr>
                <w:rFonts w:ascii="Aptos" w:hAnsi="Aptos" w:eastAsia="Aptos" w:cs="Aptos"/>
                <w:sz w:val="20"/>
                <w:szCs w:val="20"/>
              </w:rPr>
              <w:lastRenderedPageBreak/>
              <w:t>where required; stop work if uncertainty exists.</w:t>
            </w:r>
          </w:p>
        </w:tc>
        <w:tc>
          <w:tcPr>
            <w:tcW w:w="720" w:type="dxa"/>
            <w:shd w:val="clear" w:color="auto" w:fill="F4F0F7" w:themeFill="accent6" w:themeFillTint="33"/>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3C5839" w:rsidRPr="003C5839" w14:paraId="4ECAC284" w14:textId="77777777" w:rsidTr="003C5839">
        <w:trPr>
          <w:jc w:val="center"/>
          <w:cantSplit/>
        </w:trPr>
        <w:tc>
          <w:tcPr>
            <w:tcW w:w="1368" w:type="dxa"/>
            <w:shd w:fill="FFFFFF"/>
          </w:tcPr>
          <w:p w14:paraId="312C90B2"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Manual handling of tools and materials</w:t>
            </w:r>
          </w:p>
        </w:tc>
        <w:tc>
          <w:tcPr>
            <w:tcW w:w="1080" w:type="dxa"/>
            <w:shd w:fill="FFFFFF"/>
          </w:tcPr>
          <w:p w14:paraId="15B7BBAF"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Operator</w:t>
            </w:r>
          </w:p>
        </w:tc>
        <w:tc>
          <w:tcPr>
            <w:tcW w:w="1584" w:type="dxa"/>
            <w:shd w:fill="FFFFFF"/>
          </w:tcPr>
          <w:p w14:paraId="44A7D2D5"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Musculoskeletal injury</w:t>
            </w:r>
          </w:p>
        </w:tc>
        <w:tc>
          <w:tcPr>
            <w:tcW w:w="576" w:type="dxa"/>
            <w:shd w:val="clear" w:color="auto" w:fill="FFFFFF"/>
          </w:tcPr>
          <w:p w14:paraId="7550204C" w14:textId="77777777" w:rsidR="00E532DD" w:rsidRPr="003C5839" w:rsidRDefault="00000000">
            <w:pPr>
              <w:spacing w:after="0" w:line="240" w:lineRule="auto"/>
              <w:jc w:val="center"/>
              <w:rPr>
                <w:rFonts w:ascii="Aptos Display" w:hAnsi="Aptos Display"/>
                <w:sz w:val="20"/>
                <w:szCs w:val="20"/>
              </w:rPr>
            </w:pPr>
            <w:r w:rsidRPr="003C5839">
              <w:rPr>
                <w:rFonts w:ascii="Aptos" w:hAnsi="Aptos" w:eastAsia="Aptos" w:cs="Aptos"/>
                <w:sz w:val="20"/>
                <w:szCs w:val="20"/>
              </w:rPr>
              <w:t>3</w:t>
            </w:r>
          </w:p>
        </w:tc>
        <w:tc>
          <w:tcPr>
            <w:tcW w:w="576" w:type="dxa"/>
            <w:shd w:val="clear" w:color="auto" w:fill="FFFFFF"/>
          </w:tcPr>
          <w:p w14:paraId="1DF40B88" w14:textId="77777777" w:rsidR="00E532DD" w:rsidRPr="003C5839" w:rsidRDefault="00000000">
            <w:pPr>
              <w:spacing w:after="0" w:line="240" w:lineRule="auto"/>
              <w:jc w:val="center"/>
              <w:rPr>
                <w:rFonts w:ascii="Aptos Display" w:hAnsi="Aptos Display"/>
                <w:sz w:val="20"/>
                <w:szCs w:val="20"/>
              </w:rPr>
            </w:pPr>
            <w:r w:rsidRPr="003C5839">
              <w:rPr>
                <w:rFonts w:ascii="Aptos" w:hAnsi="Aptos" w:eastAsia="Aptos" w:cs="Aptos"/>
                <w:sz w:val="20"/>
                <w:szCs w:val="20"/>
              </w:rPr>
              <w:t>3</w:t>
            </w:r>
          </w:p>
        </w:tc>
        <w:tc>
          <w:tcPr>
            <w:tcW w:w="835" w:type="dxa"/>
            <w:shd w:val="clear" w:color="auto" w:fill="F8CBAD" w:themeFill="accent6" w:themeFillTint="33"/>
          </w:tcPr>
          <w:p w14:paraId="366B26EA" w14:textId="77777777" w:rsidR="00E532DD" w:rsidRPr="003C5839" w:rsidRDefault="00000000">
            <w:pPr>
              <w:spacing w:after="0" w:line="240" w:lineRule="auto"/>
              <w:jc w:val="center"/>
              <w:rPr>
                <w:rFonts w:ascii="Aptos Display" w:hAnsi="Aptos Display"/>
                <w:sz w:val="20"/>
                <w:szCs w:val="20"/>
              </w:rPr>
            </w:pPr>
            <w:r w:rsidRPr="003C5839">
              <w:rPr>
                <w:rFonts w:ascii="Aptos" w:hAnsi="Aptos" w:eastAsia="Aptos" w:cs="Aptos"/>
                <w:color w:val="000000"/>
                <w:sz w:val="20"/>
                <w:szCs w:val="20"/>
              </w:rPr>
              <w:t>9</w:t>
            </w:r>
          </w:p>
        </w:tc>
        <w:tc>
          <w:tcPr>
            <w:tcW w:w="4104" w:type="dxa"/>
            <w:shd w:fill="FFFFFF"/>
          </w:tcPr>
          <w:p w14:paraId="47C0B5ED"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ARB-GRA-12 applied; avoid excessive load; use mechanical aids; correct lifting technique; rotate tasks; suitable tool storage in vehicles.</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3</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3</w:t>
            </w:r>
          </w:p>
        </w:tc>
      </w:tr>
      <w:tr w:rsidR="003C5839" w:rsidRPr="003C5839" w14:paraId="69368C4D" w14:textId="77777777" w:rsidTr="003C5839">
        <w:trPr>
          <w:jc w:val="center"/>
          <w:cantSplit/>
        </w:trPr>
        <w:tc>
          <w:tcPr>
            <w:tcW w:w="1368" w:type="dxa"/>
            <w:shd w:fill="F4F0F7"/>
          </w:tcPr>
          <w:p w14:paraId="539527EE"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Vibration exposure (where powered hand tools used)</w:t>
            </w:r>
          </w:p>
        </w:tc>
        <w:tc>
          <w:tcPr>
            <w:tcW w:w="1080" w:type="dxa"/>
            <w:shd w:fill="F4F0F7"/>
          </w:tcPr>
          <w:p w14:paraId="1C29B778"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Operator</w:t>
            </w:r>
          </w:p>
        </w:tc>
        <w:tc>
          <w:tcPr>
            <w:tcW w:w="1584" w:type="dxa"/>
            <w:shd w:fill="F4F0F7"/>
          </w:tcPr>
          <w:p w14:paraId="0770408D"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HAVS or upper limb disorder</w:t>
            </w:r>
          </w:p>
        </w:tc>
        <w:tc>
          <w:tcPr>
            <w:tcW w:w="576" w:type="dxa"/>
            <w:shd w:val="clear" w:color="auto" w:fill="F4F0F7"/>
          </w:tcPr>
          <w:p w14:paraId="78691F69" w14:textId="77777777" w:rsidR="00E532DD" w:rsidRPr="003C5839" w:rsidRDefault="00000000">
            <w:pPr>
              <w:spacing w:after="0" w:line="240" w:lineRule="auto"/>
              <w:jc w:val="center"/>
              <w:rPr>
                <w:rFonts w:ascii="Aptos Display" w:hAnsi="Aptos Display"/>
                <w:sz w:val="20"/>
                <w:szCs w:val="20"/>
              </w:rPr>
            </w:pPr>
            <w:r w:rsidRPr="003C5839">
              <w:rPr>
                <w:rFonts w:ascii="Aptos" w:hAnsi="Aptos" w:eastAsia="Aptos" w:cs="Aptos"/>
                <w:sz w:val="20"/>
                <w:szCs w:val="20"/>
              </w:rPr>
              <w:t>3</w:t>
            </w:r>
          </w:p>
        </w:tc>
        <w:tc>
          <w:tcPr>
            <w:tcW w:w="576" w:type="dxa"/>
            <w:shd w:val="clear" w:color="auto" w:fill="F4F0F7"/>
          </w:tcPr>
          <w:p w14:paraId="73E6F634" w14:textId="77777777" w:rsidR="00E532DD" w:rsidRPr="003C5839" w:rsidRDefault="00000000">
            <w:pPr>
              <w:spacing w:after="0" w:line="240" w:lineRule="auto"/>
              <w:jc w:val="center"/>
              <w:rPr>
                <w:rFonts w:ascii="Aptos Display" w:hAnsi="Aptos Display"/>
                <w:sz w:val="20"/>
                <w:szCs w:val="20"/>
              </w:rPr>
            </w:pPr>
            <w:r w:rsidRPr="003C5839">
              <w:rPr>
                <w:rFonts w:ascii="Aptos" w:hAnsi="Aptos" w:eastAsia="Aptos" w:cs="Aptos"/>
                <w:sz w:val="20"/>
                <w:szCs w:val="20"/>
              </w:rPr>
              <w:t>4</w:t>
            </w:r>
          </w:p>
        </w:tc>
        <w:tc>
          <w:tcPr>
            <w:tcW w:w="835" w:type="dxa"/>
            <w:shd w:val="clear" w:color="auto" w:fill="ED7D31" w:themeFill="accent6" w:themeFillShade="BF"/>
          </w:tcPr>
          <w:p w14:paraId="7E801ADA" w14:textId="77777777" w:rsidR="00E532DD" w:rsidRPr="003C5839" w:rsidRDefault="00000000">
            <w:pPr>
              <w:spacing w:after="0" w:line="240" w:lineRule="auto"/>
              <w:jc w:val="center"/>
              <w:rPr>
                <w:rFonts w:ascii="Aptos Display" w:hAnsi="Aptos Display"/>
                <w:sz w:val="20"/>
                <w:szCs w:val="20"/>
              </w:rPr>
            </w:pPr>
            <w:r w:rsidRPr="003C5839">
              <w:rPr>
                <w:rFonts w:ascii="Aptos" w:hAnsi="Aptos" w:eastAsia="Aptos" w:cs="Aptos"/>
                <w:color w:val="FFFFFF"/>
                <w:sz w:val="20"/>
                <w:szCs w:val="20"/>
              </w:rPr>
              <w:t>12</w:t>
            </w:r>
          </w:p>
        </w:tc>
        <w:tc>
          <w:tcPr>
            <w:tcW w:w="4104" w:type="dxa"/>
            <w:shd w:fill="F4F0F7"/>
          </w:tcPr>
          <w:p w14:paraId="1393280A"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Low vibration equipment selected; trigger time monitored; exposure assessed; health surveillance implemented where required; maintenance regime followed.</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3C5839" w:rsidRPr="003C5839" w14:paraId="17F4F45B" w14:textId="77777777" w:rsidTr="003C5839">
        <w:trPr>
          <w:jc w:val="center"/>
          <w:cantSplit/>
        </w:trPr>
        <w:tc>
          <w:tcPr>
            <w:tcW w:w="1368" w:type="dxa"/>
            <w:shd w:fill="FFFFFF"/>
          </w:tcPr>
          <w:p w14:paraId="6CB16546"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Noise exposure (where powered tools used)</w:t>
            </w:r>
          </w:p>
        </w:tc>
        <w:tc>
          <w:tcPr>
            <w:tcW w:w="1080" w:type="dxa"/>
            <w:shd w:fill="FFFFFF"/>
          </w:tcPr>
          <w:p w14:paraId="6C871F92"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Operator, others</w:t>
            </w:r>
          </w:p>
        </w:tc>
        <w:tc>
          <w:tcPr>
            <w:tcW w:w="1584" w:type="dxa"/>
            <w:shd w:fill="FFFFFF"/>
          </w:tcPr>
          <w:p w14:paraId="16D30885"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Noise-induced hearing loss</w:t>
            </w:r>
          </w:p>
        </w:tc>
        <w:tc>
          <w:tcPr>
            <w:tcW w:w="576" w:type="dxa"/>
            <w:shd w:val="clear" w:color="auto" w:fill="FFFFFF"/>
          </w:tcPr>
          <w:p w14:paraId="38FAA01F" w14:textId="77777777" w:rsidR="00E532DD" w:rsidRPr="003C5839" w:rsidRDefault="00000000">
            <w:pPr>
              <w:spacing w:after="0" w:line="240" w:lineRule="auto"/>
              <w:jc w:val="center"/>
              <w:rPr>
                <w:rFonts w:ascii="Aptos Display" w:hAnsi="Aptos Display"/>
                <w:sz w:val="20"/>
                <w:szCs w:val="20"/>
              </w:rPr>
            </w:pPr>
            <w:r w:rsidRPr="003C5839">
              <w:rPr>
                <w:rFonts w:ascii="Aptos" w:hAnsi="Aptos" w:eastAsia="Aptos" w:cs="Aptos"/>
                <w:sz w:val="20"/>
                <w:szCs w:val="20"/>
              </w:rPr>
              <w:t>3</w:t>
            </w:r>
          </w:p>
        </w:tc>
        <w:tc>
          <w:tcPr>
            <w:tcW w:w="576" w:type="dxa"/>
            <w:shd w:val="clear" w:color="auto" w:fill="FFFFFF"/>
          </w:tcPr>
          <w:p w14:paraId="01DD9BE2" w14:textId="77777777" w:rsidR="00E532DD" w:rsidRPr="003C5839" w:rsidRDefault="00000000">
            <w:pPr>
              <w:spacing w:after="0" w:line="240" w:lineRule="auto"/>
              <w:jc w:val="center"/>
              <w:rPr>
                <w:rFonts w:ascii="Aptos Display" w:hAnsi="Aptos Display"/>
                <w:sz w:val="20"/>
                <w:szCs w:val="20"/>
              </w:rPr>
            </w:pPr>
            <w:r w:rsidRPr="003C5839">
              <w:rPr>
                <w:rFonts w:ascii="Aptos" w:hAnsi="Aptos" w:eastAsia="Aptos" w:cs="Aptos"/>
                <w:sz w:val="20"/>
                <w:szCs w:val="20"/>
              </w:rPr>
              <w:t>4</w:t>
            </w:r>
          </w:p>
        </w:tc>
        <w:tc>
          <w:tcPr>
            <w:tcW w:w="835" w:type="dxa"/>
            <w:shd w:val="clear" w:color="auto" w:fill="ED7D31" w:themeFill="accent6" w:themeFillShade="BF"/>
          </w:tcPr>
          <w:p w14:paraId="2DB1DFAE" w14:textId="77777777" w:rsidR="00E532DD" w:rsidRPr="003C5839" w:rsidRDefault="00000000">
            <w:pPr>
              <w:spacing w:after="0" w:line="240" w:lineRule="auto"/>
              <w:jc w:val="center"/>
              <w:rPr>
                <w:rFonts w:ascii="Aptos Display" w:hAnsi="Aptos Display"/>
                <w:sz w:val="20"/>
                <w:szCs w:val="20"/>
              </w:rPr>
            </w:pPr>
            <w:r w:rsidRPr="003C5839">
              <w:rPr>
                <w:rFonts w:ascii="Aptos" w:hAnsi="Aptos" w:eastAsia="Aptos" w:cs="Aptos"/>
                <w:color w:val="FFFFFF"/>
                <w:sz w:val="20"/>
                <w:szCs w:val="20"/>
              </w:rPr>
              <w:t>12</w:t>
            </w:r>
          </w:p>
        </w:tc>
        <w:tc>
          <w:tcPr>
            <w:tcW w:w="4104" w:type="dxa"/>
            <w:shd w:fill="FFFFFF"/>
          </w:tcPr>
          <w:p w14:paraId="1BDEE0FF"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Hearing protection worn where required; exposure managed under ARB-GRA-15; tools maintained; communication methods established in noisy areas.</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3C5839" w:rsidRPr="003C5839" w14:paraId="59CE0795" w14:textId="77777777" w:rsidTr="003C5839">
        <w:trPr>
          <w:jc w:val="center"/>
          <w:cantSplit/>
        </w:trPr>
        <w:tc>
          <w:tcPr>
            <w:tcW w:w="1368" w:type="dxa"/>
            <w:shd w:fill="F4F0F7"/>
          </w:tcPr>
          <w:p w14:paraId="2B4F1788"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Biological hazards (sharps, animal waste, contaminated soil)</w:t>
            </w:r>
          </w:p>
        </w:tc>
        <w:tc>
          <w:tcPr>
            <w:tcW w:w="1080" w:type="dxa"/>
            <w:shd w:fill="F4F0F7"/>
          </w:tcPr>
          <w:p w14:paraId="14469965"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All persons on site</w:t>
            </w:r>
          </w:p>
        </w:tc>
        <w:tc>
          <w:tcPr>
            <w:tcW w:w="1584" w:type="dxa"/>
            <w:shd w:fill="F4F0F7"/>
          </w:tcPr>
          <w:p w14:paraId="73777B20"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Infection or illness</w:t>
            </w:r>
          </w:p>
        </w:tc>
        <w:tc>
          <w:tcPr>
            <w:tcW w:w="576" w:type="dxa"/>
            <w:shd w:val="clear" w:color="auto" w:fill="F4F0F7"/>
          </w:tcPr>
          <w:p w14:paraId="49BB66BF" w14:textId="77777777" w:rsidR="00E532DD" w:rsidRPr="003C5839" w:rsidRDefault="00000000">
            <w:pPr>
              <w:spacing w:after="0" w:line="240" w:lineRule="auto"/>
              <w:jc w:val="center"/>
              <w:rPr>
                <w:rFonts w:ascii="Aptos Display" w:hAnsi="Aptos Display"/>
                <w:sz w:val="20"/>
                <w:szCs w:val="20"/>
              </w:rPr>
            </w:pPr>
            <w:r w:rsidRPr="003C5839">
              <w:rPr>
                <w:rFonts w:ascii="Aptos" w:hAnsi="Aptos" w:eastAsia="Aptos" w:cs="Aptos"/>
                <w:sz w:val="20"/>
                <w:szCs w:val="20"/>
              </w:rPr>
              <w:t>3</w:t>
            </w:r>
          </w:p>
        </w:tc>
        <w:tc>
          <w:tcPr>
            <w:tcW w:w="576" w:type="dxa"/>
            <w:shd w:val="clear" w:color="auto" w:fill="F4F0F7"/>
          </w:tcPr>
          <w:p w14:paraId="35618B6C" w14:textId="77777777" w:rsidR="00E532DD" w:rsidRPr="003C5839" w:rsidRDefault="00000000">
            <w:pPr>
              <w:spacing w:after="0" w:line="240" w:lineRule="auto"/>
              <w:jc w:val="center"/>
              <w:rPr>
                <w:rFonts w:ascii="Aptos Display" w:hAnsi="Aptos Display"/>
                <w:sz w:val="20"/>
                <w:szCs w:val="20"/>
              </w:rPr>
            </w:pPr>
            <w:r w:rsidRPr="003C5839">
              <w:rPr>
                <w:rFonts w:ascii="Aptos" w:hAnsi="Aptos" w:eastAsia="Aptos" w:cs="Aptos"/>
                <w:sz w:val="20"/>
                <w:szCs w:val="20"/>
              </w:rPr>
              <w:t>4</w:t>
            </w:r>
          </w:p>
        </w:tc>
        <w:tc>
          <w:tcPr>
            <w:tcW w:w="835" w:type="dxa"/>
            <w:shd w:val="clear" w:color="auto" w:fill="ED7D31" w:themeFill="accent6" w:themeFillShade="BF"/>
          </w:tcPr>
          <w:p w14:paraId="7A2E867F" w14:textId="77777777" w:rsidR="00E532DD" w:rsidRPr="003C5839" w:rsidRDefault="00000000">
            <w:pPr>
              <w:spacing w:after="0" w:line="240" w:lineRule="auto"/>
              <w:jc w:val="center"/>
              <w:rPr>
                <w:rFonts w:ascii="Aptos Display" w:hAnsi="Aptos Display"/>
                <w:sz w:val="20"/>
                <w:szCs w:val="20"/>
              </w:rPr>
            </w:pPr>
            <w:r w:rsidRPr="003C5839">
              <w:rPr>
                <w:rFonts w:ascii="Aptos" w:hAnsi="Aptos" w:eastAsia="Aptos" w:cs="Aptos"/>
                <w:color w:val="FFFFFF"/>
                <w:sz w:val="20"/>
                <w:szCs w:val="20"/>
              </w:rPr>
              <w:t>12</w:t>
            </w:r>
          </w:p>
        </w:tc>
        <w:tc>
          <w:tcPr>
            <w:tcW w:w="4104" w:type="dxa"/>
            <w:shd w:fill="F4F0F7"/>
          </w:tcPr>
          <w:p w14:paraId="65EAB54A"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Area visually inspected; gloves worn; avoid direct contact; sharps reported for specialist removal; wash hands before eating; minor wounds cleaned and dressed immediately; tetanus vaccination maintained.</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3C5839" w:rsidRPr="003C5839" w14:paraId="0369E9B2" w14:textId="77777777" w:rsidTr="003C5839">
        <w:trPr>
          <w:jc w:val="center"/>
          <w:cantSplit/>
        </w:trPr>
        <w:tc>
          <w:tcPr>
            <w:tcW w:w="1368" w:type="dxa"/>
            <w:shd w:fill="FFFFFF"/>
          </w:tcPr>
          <w:p w14:paraId="5005CA5A"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Fuel handling for petrol-powered hand tools</w:t>
            </w:r>
          </w:p>
        </w:tc>
        <w:tc>
          <w:tcPr>
            <w:tcW w:w="1080" w:type="dxa"/>
            <w:shd w:fill="FFFFFF"/>
          </w:tcPr>
          <w:p w14:paraId="0930B5C4"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Operator, environment</w:t>
            </w:r>
          </w:p>
        </w:tc>
        <w:tc>
          <w:tcPr>
            <w:tcW w:w="1584" w:type="dxa"/>
            <w:shd w:fill="FFFFFF"/>
          </w:tcPr>
          <w:p w14:paraId="2CB9D63A"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Burns, fire, environmental contamination</w:t>
            </w:r>
          </w:p>
        </w:tc>
        <w:tc>
          <w:tcPr>
            <w:tcW w:w="576" w:type="dxa"/>
            <w:shd w:val="clear" w:color="auto" w:fill="FFFFFF"/>
          </w:tcPr>
          <w:p w14:paraId="705C477C" w14:textId="77777777" w:rsidR="00E532DD" w:rsidRPr="003C5839" w:rsidRDefault="00000000">
            <w:pPr>
              <w:spacing w:after="0" w:line="240" w:lineRule="auto"/>
              <w:jc w:val="center"/>
              <w:rPr>
                <w:rFonts w:ascii="Aptos Display" w:hAnsi="Aptos Display"/>
                <w:sz w:val="20"/>
                <w:szCs w:val="20"/>
              </w:rPr>
            </w:pPr>
            <w:r w:rsidRPr="003C5839">
              <w:rPr>
                <w:rFonts w:ascii="Aptos" w:hAnsi="Aptos" w:eastAsia="Aptos" w:cs="Aptos"/>
                <w:sz w:val="20"/>
                <w:szCs w:val="20"/>
              </w:rPr>
              <w:t>3</w:t>
            </w:r>
          </w:p>
        </w:tc>
        <w:tc>
          <w:tcPr>
            <w:tcW w:w="576" w:type="dxa"/>
            <w:shd w:val="clear" w:color="auto" w:fill="FFFFFF"/>
          </w:tcPr>
          <w:p w14:paraId="1F2F46C7" w14:textId="77777777" w:rsidR="00E532DD" w:rsidRPr="003C5839" w:rsidRDefault="00000000">
            <w:pPr>
              <w:spacing w:after="0" w:line="240" w:lineRule="auto"/>
              <w:jc w:val="center"/>
              <w:rPr>
                <w:rFonts w:ascii="Aptos Display" w:hAnsi="Aptos Display"/>
                <w:sz w:val="20"/>
                <w:szCs w:val="20"/>
              </w:rPr>
            </w:pPr>
            <w:r w:rsidRPr="003C5839">
              <w:rPr>
                <w:rFonts w:ascii="Aptos" w:hAnsi="Aptos" w:eastAsia="Aptos" w:cs="Aptos"/>
                <w:sz w:val="20"/>
                <w:szCs w:val="20"/>
              </w:rPr>
              <w:t>4</w:t>
            </w:r>
          </w:p>
        </w:tc>
        <w:tc>
          <w:tcPr>
            <w:tcW w:w="835" w:type="dxa"/>
            <w:shd w:val="clear" w:color="auto" w:fill="ED7D31" w:themeFill="accent6" w:themeFillShade="BF"/>
          </w:tcPr>
          <w:p w14:paraId="73BAF4F7" w14:textId="77777777" w:rsidR="00E532DD" w:rsidRPr="003C5839" w:rsidRDefault="00000000">
            <w:pPr>
              <w:spacing w:after="0" w:line="240" w:lineRule="auto"/>
              <w:jc w:val="center"/>
              <w:rPr>
                <w:rFonts w:ascii="Aptos Display" w:hAnsi="Aptos Display"/>
                <w:sz w:val="20"/>
                <w:szCs w:val="20"/>
              </w:rPr>
            </w:pPr>
            <w:r w:rsidRPr="003C5839">
              <w:rPr>
                <w:rFonts w:ascii="Aptos" w:hAnsi="Aptos" w:eastAsia="Aptos" w:cs="Aptos"/>
                <w:color w:val="FFFFFF"/>
                <w:sz w:val="20"/>
                <w:szCs w:val="20"/>
              </w:rPr>
              <w:t>12</w:t>
            </w:r>
          </w:p>
        </w:tc>
        <w:tc>
          <w:tcPr>
            <w:tcW w:w="4104" w:type="dxa"/>
            <w:shd w:fill="FFFFFF"/>
          </w:tcPr>
          <w:p w14:paraId="66549C2B" w14:textId="77777777" w:rsidR="00E532DD" w:rsidRPr="003C5839" w:rsidRDefault="00000000">
            <w:pPr>
              <w:spacing w:after="0" w:line="240" w:lineRule="auto"/>
              <w:rPr>
                <w:rFonts w:ascii="Aptos Display" w:hAnsi="Aptos Display"/>
                <w:sz w:val="20"/>
                <w:szCs w:val="20"/>
              </w:rPr>
            </w:pPr>
            <w:r w:rsidRPr="003C5839">
              <w:rPr>
                <w:rFonts w:ascii="Aptos" w:hAnsi="Aptos" w:eastAsia="Aptos" w:cs="Aptos"/>
                <w:sz w:val="20"/>
                <w:szCs w:val="20"/>
              </w:rPr>
              <w:t>Refuel in well-ventilated area; engine cooled; no smoking; approved fuel containers used; fuel stored minimum 10m from ignition sources; spill kit available; refuel away from drains/watercourses.</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bl>
    <w:p w14:paraId="11370B70" w14:textId="77777777" w:rsidR="00E532DD" w:rsidRPr="003C5839" w:rsidRDefault="00000000">
      <w:pPr>
        <w:pStyle w:val="Heading2"/>
        <w:rPr>
          <w:rFonts w:ascii="Aptos Display" w:hAnsi="Aptos Display"/>
          <w:color w:val="auto"/>
          <w:sz w:val="20"/>
          <w:szCs w:val="20"/>
        </w:rPr>
      </w:pPr>
      <w:r w:rsidRPr="003C5839">
        <w:rPr>
          <w:rFonts w:ascii="Aptos" w:hAnsi="Aptos" w:eastAsia="Aptos" w:cs="Aptos"/>
          <w:color w:val="auto"/>
          <w:sz w:val="20"/>
          <w:szCs w:val="20"/>
        </w:rPr>
        <w:t>9. Review &amp; Monitoring</w:t>
      </w:r>
    </w:p>
    <w:p w14:paraId="07BE7CE4" w14:textId="77777777" w:rsidR="00E532DD" w:rsidRPr="003C5839" w:rsidRDefault="00000000">
      <w:pPr>
        <w:rPr>
          <w:rFonts w:ascii="Aptos Display" w:hAnsi="Aptos Display"/>
          <w:sz w:val="20"/>
          <w:szCs w:val="20"/>
        </w:rPr>
      </w:pPr>
      <w:r w:rsidRPr="003C5839">
        <w:rPr>
          <w:rFonts w:ascii="Aptos" w:hAnsi="Aptos" w:eastAsia="Aptos" w:cs="Aptos"/>
          <w:sz w:val="20"/>
          <w:szCs w:val="20"/>
        </w:rPr>
        <w:t>This GRA must be reviewed annually, following any incident, introduction of new tools, change in working practices, or legislative update.</w:t>
      </w:r>
    </w:p>
    <w:p w14:paraId="1497A816" w14:textId="3851AE9B" w:rsidR="00E532DD" w:rsidRPr="003C5839" w:rsidRDefault="00000000" w:rsidP="003C5839">
      <w:pPr>
        <w:rPr>
          <w:rFonts w:ascii="Aptos Display" w:hAnsi="Aptos Display"/>
          <w:sz w:val="20"/>
          <w:szCs w:val="20"/>
        </w:rPr>
      </w:pPr>
      <w:r w:rsidRPr="003C5839">
        <w:rPr>
          <w:rFonts w:ascii="Aptos" w:hAnsi="Aptos" w:eastAsia="Aptos" w:cs="Aptos"/>
          <w:sz w:val="20"/>
          <w:szCs w:val="20"/>
        </w:rPr>
        <w:br/>
      </w:r>
    </w:p>
    <w:sectPr w:rsidR="00E532DD" w:rsidRPr="003C5839" w:rsidSect="003C5839">
      <w:headerReference w:type="default" r:id="rId8"/>
      <w:footerReference w:type="default" r:id="rId9"/>
      <w:pgSz w:w="15840" w:h="1222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D5E5BF" w14:textId="77777777" w:rsidR="005A2579" w:rsidRDefault="005A2579" w:rsidP="003C5839">
      <w:pPr>
        <w:spacing w:after="0" w:line="240" w:lineRule="auto"/>
      </w:pPr>
      <w:r>
        <w:separator/>
      </w:r>
    </w:p>
  </w:endnote>
  <w:endnote w:type="continuationSeparator" w:id="0">
    <w:p w14:paraId="2AF55884" w14:textId="77777777" w:rsidR="005A2579" w:rsidRDefault="005A2579" w:rsidP="003C5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2EBC54" w14:textId="77777777" w:rsidR="003C5839" w:rsidRPr="003C5839" w:rsidRDefault="003C5839" w:rsidP="003C5839">
    <w:pPr>
      <w:spacing w:after="0"/>
      <w:rPr>
        <w:rFonts w:ascii="Aptos Display" w:hAnsi="Aptos Display"/>
        <w:color w:val="FF0000"/>
        <w:sz w:val="16"/>
        <w:szCs w:val="16"/>
      </w:rPr>
    </w:pPr>
    <w:r w:rsidRPr="003C5839">
      <w:rPr>
        <w:rFonts w:ascii="Aptos" w:hAnsi="Aptos" w:eastAsia="Aptos" w:cs="Aptos"/>
        <w:color w:val="FF0000"/>
        <w:sz w:val="20"/>
        <w:szCs w:val="16"/>
      </w:rPr>
      <w:t>[COMPANY NAME] – GRA Use of Hand Tools - ARB-GRA-20</w:t>
    </w:r>
  </w:p>
  <w:p w14:paraId="41FBCEA3" w14:textId="77777777" w:rsidR="003C5839" w:rsidRPr="003C5839" w:rsidRDefault="003C5839" w:rsidP="003C5839">
    <w:pPr>
      <w:spacing w:after="0"/>
      <w:rPr>
        <w:rFonts w:ascii="Aptos Display" w:hAnsi="Aptos Display"/>
        <w:color w:val="FF0000"/>
        <w:sz w:val="16"/>
        <w:szCs w:val="16"/>
      </w:rPr>
    </w:pPr>
    <w:r w:rsidRPr="003C5839">
      <w:rPr>
        <w:rFonts w:ascii="Aptos" w:hAnsi="Aptos" w:eastAsia="Aptos" w:cs="Aptos"/>
        <w:color w:val="FF0000"/>
        <w:sz w:val="20"/>
        <w:szCs w:val="16"/>
      </w:rPr>
      <w:t>Version: [VERSION]   Date Issued: [DATE]   Review Date: [REVIEW DATE]</w:t>
    </w:r>
  </w:p>
  <w:p w14:paraId="4A22139F" w14:textId="688C8CA5" w:rsidR="003C5839" w:rsidRPr="003C5839" w:rsidRDefault="003C5839" w:rsidP="003C5839">
    <w:pPr>
      <w:spacing w:after="0"/>
      <w:rPr>
        <w:rFonts w:ascii="Aptos Display" w:hAnsi="Aptos Display"/>
        <w:color w:val="FF0000"/>
        <w:sz w:val="16"/>
        <w:szCs w:val="16"/>
      </w:rPr>
    </w:pPr>
    <w:r w:rsidRPr="003C5839">
      <w:rPr>
        <w:rFonts w:ascii="Aptos" w:hAnsi="Aptos" w:eastAsia="Aptos" w:cs="Aptos"/>
        <w:color w:val="FF0000"/>
        <w:sz w:val="20"/>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C71DB5" w14:textId="77777777" w:rsidR="005A2579" w:rsidRDefault="005A2579" w:rsidP="003C5839">
      <w:pPr>
        <w:spacing w:after="0" w:line="240" w:lineRule="auto"/>
      </w:pPr>
      <w:r>
        <w:separator/>
      </w:r>
    </w:p>
  </w:footnote>
  <w:footnote w:type="continuationSeparator" w:id="0">
    <w:p w14:paraId="7B18AA7B" w14:textId="77777777" w:rsidR="005A2579" w:rsidRDefault="005A2579" w:rsidP="003C58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C35039" w14:textId="77777777" w:rsidR="003C5839" w:rsidRPr="003C5839" w:rsidRDefault="003C5839" w:rsidP="003C5839">
    <w:pPr>
      <w:rPr>
        <w:rFonts w:ascii="Aptos Display" w:hAnsi="Aptos Display"/>
        <w:sz w:val="20"/>
        <w:szCs w:val="20"/>
      </w:rPr>
    </w:pPr>
    <w:r w:rsidRPr="003C5839">
      <w:rPr>
        <w:rFonts w:ascii="Aptos" w:hAnsi="Aptos" w:eastAsia="Aptos" w:cs="Aptos"/>
        <w:color w:val="FF0000"/>
        <w:sz w:val="20"/>
        <w:szCs w:val="20"/>
      </w:rPr>
      <w:t>LOGO [Insert Company Logo Here]</w:t>
    </w:r>
    <w:r w:rsidRPr="003C5839">
      <w:rPr>
        <w:rFonts w:ascii="Aptos" w:hAnsi="Aptos" w:eastAsia="Aptos" w:cs="Aptos"/>
        <w:color w:val="FF0000"/>
        <w:sz w:val="20"/>
        <w:szCs w:val="20"/>
      </w:rPr>
      <w:br/>
    </w:r>
  </w:p>
  <w:p w14:paraId="7CD69C57" w14:textId="77777777" w:rsidR="003C5839" w:rsidRDefault="003C58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59744501">
    <w:abstractNumId w:val="8"/>
  </w:num>
  <w:num w:numId="2" w16cid:durableId="1240673443">
    <w:abstractNumId w:val="6"/>
  </w:num>
  <w:num w:numId="3" w16cid:durableId="242107180">
    <w:abstractNumId w:val="5"/>
  </w:num>
  <w:num w:numId="4" w16cid:durableId="1245604072">
    <w:abstractNumId w:val="4"/>
  </w:num>
  <w:num w:numId="5" w16cid:durableId="1592158449">
    <w:abstractNumId w:val="7"/>
  </w:num>
  <w:num w:numId="6" w16cid:durableId="46882087">
    <w:abstractNumId w:val="3"/>
  </w:num>
  <w:num w:numId="7" w16cid:durableId="587541193">
    <w:abstractNumId w:val="2"/>
  </w:num>
  <w:num w:numId="8" w16cid:durableId="1481577295">
    <w:abstractNumId w:val="1"/>
  </w:num>
  <w:num w:numId="9" w16cid:durableId="1544125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42D28"/>
    <w:rsid w:val="003C5839"/>
    <w:rsid w:val="005A2579"/>
    <w:rsid w:val="00AA1D8D"/>
    <w:rsid w:val="00AD4191"/>
    <w:rsid w:val="00B47730"/>
    <w:rsid w:val="00CB0664"/>
    <w:rsid w:val="00E532D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2E72E7"/>
  <w14:defaultImageDpi w14:val="300"/>
  <w15:docId w15:val="{1D0BDA1C-B63A-CD4D-973E-B4AA2A9C2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ptos" w:hAnsi="Aptos"/>
      <w:b/>
      <w:bCs/>
      <w:i/>
      <w:iCs/>
      <w:color w:val="4F81BD" w:themeColor="accent1"/>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ptos" w:hAnsi="Aptos"/>
      <w:color w:val="243F60" w:themeColor="accent1" w:themeShade="7F"/>
      <w:sz w:val="2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ptos" w:hAnsi="Aptos"/>
      <w:i/>
      <w:iCs/>
      <w:color w:val="243F60" w:themeColor="accent1" w:themeShade="7F"/>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ptos" w:hAnsi="Aptos"/>
      <w:i/>
      <w:iCs/>
      <w:color w:val="404040" w:themeColor="text1" w:themeTint="BF"/>
      <w:sz w:val="2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ptos" w:hAnsi="Apto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ptos" w:hAnsi="Aptos"/>
      <w:i/>
      <w:iCs/>
      <w:color w:val="404040" w:themeColor="text1" w:themeTint="BF"/>
      <w:sz w:val="20"/>
      <w:szCs w:val="20"/>
    </w:rPr>
  </w:style>
  <w:style w:type="character" w:default="1" w:styleId="DefaultParagraphFont">
    <w:name w:val="Default Paragraph Font"/>
    <w:uiPriority w:val="1"/>
    <w:semiHidden/>
    <w:unhideWhenUsed/>
    <w:rPr>
      <w:rFonts w:ascii="Aptos" w:hAnsi="Aptos"/>
      <w:sz w:val="20"/>
    </w:rPr>
  </w:style>
  <w:style w:type="table" w:default="1" w:styleId="TableNormal">
    <w:name w:val="Normal Table"/>
    <w:uiPriority w:val="99"/>
    <w:semiHidden/>
    <w:unhideWhenUsed/>
    <w:rPr>
      <w:rFonts w:ascii="Aptos" w:hAnsi="Aptos"/>
      <w:sz w:val="2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ptos" w:hAnsi="Aptos"/>
      <w:sz w:val="20"/>
    </w:rPr>
  </w:style>
  <w:style w:type="character" w:customStyle="1" w:styleId="HeaderChar">
    <w:name w:val="Header Char"/>
    <w:basedOn w:val="DefaultParagraphFont"/>
    <w:link w:val="Header"/>
    <w:uiPriority w:val="99"/>
    <w:rsid w:val="00E618BF"/>
    <w:rPr>
      <w:rFonts w:ascii="Aptos" w:hAnsi="Aptos"/>
      <w:sz w:val="2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ptos" w:hAnsi="Aptos"/>
      <w:sz w:val="20"/>
    </w:rPr>
  </w:style>
  <w:style w:type="character" w:customStyle="1" w:styleId="FooterChar">
    <w:name w:val="Footer Char"/>
    <w:basedOn w:val="DefaultParagraphFont"/>
    <w:link w:val="Footer"/>
    <w:uiPriority w:val="99"/>
    <w:rsid w:val="00E618BF"/>
    <w:rPr>
      <w:rFonts w:ascii="Aptos" w:hAnsi="Aptos"/>
      <w:sz w:val="20"/>
    </w:rPr>
  </w:style>
  <w:style w:type="paragraph" w:styleId="NoSpacing">
    <w:name w:val="No Spacing"/>
    <w:uiPriority w:val="1"/>
    <w:qFormat/>
    <w:rsid w:val="00FC693F"/>
    <w:pPr>
      <w:spacing w:after="0" w:line="240" w:lineRule="auto"/>
    </w:pPr>
    <w:rPr>
      <w:rFonts w:ascii="Aptos" w:hAnsi="Aptos"/>
      <w:sz w:val="2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Aptos" w:hAnsi="Aptos"/>
      <w:b/>
      <w:bCs/>
      <w:color w:val="365F91" w:themeColor="accent1" w:themeShade="BF"/>
      <w:sz w:val="20"/>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Aptos" w:hAnsi="Aptos"/>
      <w:b/>
      <w:bCs/>
      <w:color w:val="4F81BD" w:themeColor="accent1"/>
      <w:sz w:val="20"/>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Aptos" w:hAnsi="Aptos"/>
      <w:b/>
      <w:bCs/>
      <w:color w:val="4F81BD" w:themeColor="accent1"/>
      <w:sz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2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Aptos" w:hAnsi="Aptos"/>
      <w:color w:val="17365D" w:themeColor="text2" w:themeShade="BF"/>
      <w:spacing w:val="5"/>
      <w:kern w:val="28"/>
      <w:sz w:val="20"/>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4F81BD" w:themeColor="accent1"/>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Aptos" w:hAnsi="Aptos"/>
      <w:i/>
      <w:iCs/>
      <w:color w:val="4F81BD" w:themeColor="accent1"/>
      <w:spacing w:val="15"/>
      <w:sz w:val="20"/>
      <w:szCs w:val="24"/>
    </w:rPr>
  </w:style>
  <w:style w:type="paragraph" w:styleId="ListParagraph">
    <w:name w:val="List Paragraph"/>
    <w:basedOn w:val="Normal"/>
    <w:uiPriority w:val="34"/>
    <w:qFormat/>
    <w:rsid w:val="00FC693F"/>
    <w:pPr>
      <w:ind w:left="720"/>
      <w:contextualSpacing/>
    </w:pPr>
    <w:rPr>
      <w:rFonts w:ascii="Aptos" w:hAnsi="Aptos"/>
      <w:sz w:val="20"/>
    </w:rPr>
  </w:style>
  <w:style w:type="paragraph" w:styleId="BodyText">
    <w:name w:val="Body Text"/>
    <w:basedOn w:val="Normal"/>
    <w:link w:val="BodyTextChar"/>
    <w:uiPriority w:val="99"/>
    <w:unhideWhenUsed/>
    <w:rsid w:val="00AA1D8D"/>
    <w:pPr>
      <w:spacing w:after="120"/>
    </w:pPr>
    <w:rPr>
      <w:rFonts w:ascii="Aptos" w:hAnsi="Aptos"/>
      <w:sz w:val="20"/>
    </w:rPr>
  </w:style>
  <w:style w:type="character" w:customStyle="1" w:styleId="BodyTextChar">
    <w:name w:val="Body Text Char"/>
    <w:basedOn w:val="DefaultParagraphFont"/>
    <w:link w:val="BodyText"/>
    <w:uiPriority w:val="99"/>
    <w:rsid w:val="00AA1D8D"/>
    <w:rPr>
      <w:rFonts w:ascii="Aptos" w:hAnsi="Aptos"/>
      <w:sz w:val="20"/>
    </w:rPr>
  </w:style>
  <w:style w:type="paragraph" w:styleId="BodyText2">
    <w:name w:val="Body Text 2"/>
    <w:basedOn w:val="Normal"/>
    <w:link w:val="BodyText2Char"/>
    <w:uiPriority w:val="99"/>
    <w:unhideWhenUsed/>
    <w:rsid w:val="00AA1D8D"/>
    <w:pPr>
      <w:spacing w:after="120" w:line="480" w:lineRule="auto"/>
    </w:pPr>
    <w:rPr>
      <w:rFonts w:ascii="Aptos" w:hAnsi="Aptos"/>
      <w:sz w:val="20"/>
    </w:rPr>
  </w:style>
  <w:style w:type="character" w:customStyle="1" w:styleId="BodyText2Char">
    <w:name w:val="Body Text 2 Char"/>
    <w:basedOn w:val="DefaultParagraphFont"/>
    <w:link w:val="BodyText2"/>
    <w:uiPriority w:val="99"/>
    <w:rsid w:val="00AA1D8D"/>
    <w:rPr>
      <w:rFonts w:ascii="Aptos" w:hAnsi="Aptos"/>
      <w:sz w:val="20"/>
    </w:rPr>
  </w:style>
  <w:style w:type="paragraph" w:styleId="BodyText3">
    <w:name w:val="Body Text 3"/>
    <w:basedOn w:val="Normal"/>
    <w:link w:val="BodyText3Char"/>
    <w:uiPriority w:val="99"/>
    <w:unhideWhenUsed/>
    <w:rsid w:val="00AA1D8D"/>
    <w:pPr>
      <w:spacing w:after="120"/>
    </w:pPr>
    <w:rPr>
      <w:rFonts w:ascii="Aptos" w:hAnsi="Aptos"/>
      <w:sz w:val="20"/>
      <w:szCs w:val="16"/>
    </w:rPr>
  </w:style>
  <w:style w:type="character" w:customStyle="1" w:styleId="BodyText3Char">
    <w:name w:val="Body Text 3 Char"/>
    <w:basedOn w:val="DefaultParagraphFont"/>
    <w:link w:val="BodyText3"/>
    <w:uiPriority w:val="99"/>
    <w:rsid w:val="00AA1D8D"/>
    <w:rPr>
      <w:rFonts w:ascii="Aptos" w:hAnsi="Aptos"/>
      <w:sz w:val="20"/>
      <w:szCs w:val="16"/>
    </w:rPr>
  </w:style>
  <w:style w:type="paragraph" w:styleId="List">
    <w:name w:val="List"/>
    <w:basedOn w:val="Normal"/>
    <w:uiPriority w:val="99"/>
    <w:unhideWhenUsed/>
    <w:rsid w:val="00AA1D8D"/>
    <w:pPr>
      <w:ind w:left="360" w:hanging="360"/>
      <w:contextualSpacing/>
    </w:pPr>
    <w:rPr>
      <w:rFonts w:ascii="Aptos" w:hAnsi="Aptos"/>
      <w:sz w:val="20"/>
    </w:rPr>
  </w:style>
  <w:style w:type="paragraph" w:styleId="List2">
    <w:name w:val="List 2"/>
    <w:basedOn w:val="Normal"/>
    <w:uiPriority w:val="99"/>
    <w:unhideWhenUsed/>
    <w:rsid w:val="00326F90"/>
    <w:pPr>
      <w:ind w:left="720" w:hanging="360"/>
      <w:contextualSpacing/>
    </w:pPr>
    <w:rPr>
      <w:rFonts w:ascii="Aptos" w:hAnsi="Aptos"/>
      <w:sz w:val="20"/>
    </w:rPr>
  </w:style>
  <w:style w:type="paragraph" w:styleId="List3">
    <w:name w:val="List 3"/>
    <w:basedOn w:val="Normal"/>
    <w:uiPriority w:val="99"/>
    <w:unhideWhenUsed/>
    <w:rsid w:val="00326F90"/>
    <w:pPr>
      <w:ind w:left="1080" w:hanging="360"/>
      <w:contextualSpacing/>
    </w:pPr>
    <w:rPr>
      <w:rFonts w:ascii="Aptos" w:hAnsi="Aptos"/>
      <w:sz w:val="20"/>
    </w:r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rPr>
      <w:rFonts w:ascii="Aptos" w:hAnsi="Aptos"/>
      <w:sz w:val="20"/>
    </w:rPr>
  </w:style>
  <w:style w:type="paragraph" w:styleId="ListBullet3">
    <w:name w:val="List Bullet 3"/>
    <w:basedOn w:val="Normal"/>
    <w:uiPriority w:val="99"/>
    <w:unhideWhenUsed/>
    <w:rsid w:val="00326F90"/>
    <w:pPr>
      <w:numPr>
        <w:numId w:val="3"/>
      </w:numPr>
      <w:contextualSpacing/>
    </w:pPr>
    <w:rPr>
      <w:rFonts w:ascii="Aptos" w:hAnsi="Aptos"/>
      <w:sz w:val="20"/>
    </w:r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rPr>
      <w:rFonts w:ascii="Aptos" w:hAnsi="Aptos"/>
      <w:sz w:val="20"/>
    </w:rPr>
  </w:style>
  <w:style w:type="paragraph" w:styleId="ListNumber3">
    <w:name w:val="List Number 3"/>
    <w:basedOn w:val="Normal"/>
    <w:uiPriority w:val="99"/>
    <w:unhideWhenUsed/>
    <w:rsid w:val="0029639D"/>
    <w:pPr>
      <w:numPr>
        <w:numId w:val="7"/>
      </w:numPr>
      <w:contextualSpacing/>
    </w:pPr>
    <w:rPr>
      <w:rFonts w:ascii="Aptos" w:hAnsi="Aptos"/>
      <w:sz w:val="20"/>
    </w:rPr>
  </w:style>
  <w:style w:type="paragraph" w:styleId="ListContinue">
    <w:name w:val="List Continue"/>
    <w:basedOn w:val="Normal"/>
    <w:uiPriority w:val="99"/>
    <w:unhideWhenUsed/>
    <w:rsid w:val="0029639D"/>
    <w:pPr>
      <w:spacing w:after="120"/>
      <w:ind w:left="360"/>
      <w:contextualSpacing/>
    </w:pPr>
    <w:rPr>
      <w:rFonts w:ascii="Aptos" w:hAnsi="Aptos"/>
      <w:sz w:val="20"/>
    </w:rPr>
  </w:style>
  <w:style w:type="paragraph" w:styleId="ListContinue2">
    <w:name w:val="List Continue 2"/>
    <w:basedOn w:val="Normal"/>
    <w:uiPriority w:val="99"/>
    <w:unhideWhenUsed/>
    <w:rsid w:val="0029639D"/>
    <w:pPr>
      <w:spacing w:after="120"/>
      <w:ind w:left="720"/>
      <w:contextualSpacing/>
    </w:pPr>
    <w:rPr>
      <w:rFonts w:ascii="Aptos" w:hAnsi="Aptos"/>
      <w:sz w:val="20"/>
    </w:rPr>
  </w:style>
  <w:style w:type="paragraph" w:styleId="ListContinue3">
    <w:name w:val="List Continue 3"/>
    <w:basedOn w:val="Normal"/>
    <w:uiPriority w:val="99"/>
    <w:unhideWhenUsed/>
    <w:rsid w:val="0029639D"/>
    <w:pPr>
      <w:spacing w:after="120"/>
      <w:ind w:left="1080"/>
      <w:contextualSpacing/>
    </w:pPr>
    <w:rPr>
      <w:rFonts w:ascii="Aptos" w:hAnsi="Aptos"/>
      <w:sz w:val="2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hAnsi="Aptos"/>
      <w:sz w:val="20"/>
      <w:szCs w:val="20"/>
    </w:rPr>
  </w:style>
  <w:style w:type="character" w:customStyle="1" w:styleId="MacroTextChar">
    <w:name w:val="Macro Text Char"/>
    <w:basedOn w:val="DefaultParagraphFont"/>
    <w:link w:val="MacroText"/>
    <w:uiPriority w:val="99"/>
    <w:rsid w:val="0029639D"/>
    <w:rPr>
      <w:rFonts w:ascii="Aptos" w:hAnsi="Aptos"/>
      <w:sz w:val="20"/>
      <w:szCs w:val="20"/>
    </w:rPr>
  </w:style>
  <w:style w:type="paragraph" w:styleId="Quote">
    <w:name w:val="Quote"/>
    <w:basedOn w:val="Normal"/>
    <w:next w:val="Normal"/>
    <w:link w:val="QuoteChar"/>
    <w:uiPriority w:val="29"/>
    <w:qFormat/>
    <w:rsid w:val="00FC693F"/>
    <w:rPr>
      <w:rFonts w:ascii="Aptos" w:hAnsi="Aptos"/>
      <w:i/>
      <w:iCs/>
      <w:color w:val="000000" w:themeColor="text1"/>
      <w:sz w:val="20"/>
    </w:rPr>
  </w:style>
  <w:style w:type="character" w:customStyle="1" w:styleId="QuoteChar">
    <w:name w:val="Quote Char"/>
    <w:basedOn w:val="DefaultParagraphFont"/>
    <w:link w:val="Quote"/>
    <w:uiPriority w:val="29"/>
    <w:rsid w:val="00FC693F"/>
    <w:rPr>
      <w:rFonts w:ascii="Aptos" w:hAnsi="Aptos"/>
      <w:i/>
      <w:iCs/>
      <w:color w:val="000000" w:themeColor="text1"/>
      <w:sz w:val="2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Aptos" w:hAnsi="Aptos"/>
      <w:b/>
      <w:bCs/>
      <w:i/>
      <w:iCs/>
      <w:color w:val="4F81BD" w:themeColor="accent1"/>
      <w:sz w:val="2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Aptos" w:hAnsi="Aptos"/>
      <w:color w:val="243F60" w:themeColor="accent1" w:themeShade="7F"/>
      <w:sz w:val="2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Aptos" w:hAnsi="Aptos"/>
      <w:i/>
      <w:iCs/>
      <w:color w:val="243F60" w:themeColor="accent1" w:themeShade="7F"/>
      <w:sz w:val="2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Aptos" w:hAnsi="Aptos"/>
      <w:i/>
      <w:iCs/>
      <w:color w:val="404040" w:themeColor="text1" w:themeTint="BF"/>
      <w:sz w:val="2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Aptos" w:hAnsi="Aptos"/>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Aptos" w:hAnsi="Apto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ptos" w:hAnsi="Aptos"/>
      <w:b/>
      <w:bCs/>
      <w:color w:val="4F81BD" w:themeColor="accent1"/>
      <w:sz w:val="20"/>
      <w:szCs w:val="18"/>
    </w:rPr>
  </w:style>
  <w:style w:type="character" w:styleId="Strong">
    <w:name w:val="Strong"/>
    <w:basedOn w:val="DefaultParagraphFont"/>
    <w:uiPriority w:val="22"/>
    <w:qFormat/>
    <w:rsid w:val="00FC693F"/>
    <w:rPr>
      <w:rFonts w:ascii="Aptos" w:hAnsi="Aptos"/>
      <w:b/>
      <w:bCs/>
      <w:sz w:val="20"/>
    </w:rPr>
  </w:style>
  <w:style w:type="character" w:styleId="Emphasis">
    <w:name w:val="Emphasis"/>
    <w:basedOn w:val="DefaultParagraphFont"/>
    <w:uiPriority w:val="20"/>
    <w:qFormat/>
    <w:rsid w:val="00FC693F"/>
    <w:rPr>
      <w:rFonts w:ascii="Aptos" w:hAnsi="Aptos"/>
      <w:i/>
      <w:iCs/>
      <w:sz w:val="2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ptos" w:hAnsi="Aptos"/>
      <w:b/>
      <w:bCs/>
      <w:i/>
      <w:iCs/>
      <w:color w:val="4F81BD" w:themeColor="accent1"/>
      <w:sz w:val="20"/>
    </w:rPr>
  </w:style>
  <w:style w:type="character" w:customStyle="1" w:styleId="IntenseQuoteChar">
    <w:name w:val="Intense Quote Char"/>
    <w:basedOn w:val="DefaultParagraphFont"/>
    <w:link w:val="IntenseQuote"/>
    <w:uiPriority w:val="30"/>
    <w:rsid w:val="00FC693F"/>
    <w:rPr>
      <w:rFonts w:ascii="Aptos" w:hAnsi="Aptos"/>
      <w:b/>
      <w:bCs/>
      <w:i/>
      <w:iCs/>
      <w:color w:val="4F81BD" w:themeColor="accent1"/>
      <w:sz w:val="20"/>
    </w:rPr>
  </w:style>
  <w:style w:type="character" w:styleId="SubtleEmphasis">
    <w:name w:val="Subtle Emphasis"/>
    <w:basedOn w:val="DefaultParagraphFont"/>
    <w:uiPriority w:val="19"/>
    <w:qFormat/>
    <w:rsid w:val="00FC693F"/>
    <w:rPr>
      <w:rFonts w:ascii="Aptos" w:hAnsi="Aptos"/>
      <w:i/>
      <w:iCs/>
      <w:color w:val="808080" w:themeColor="text1" w:themeTint="7F"/>
      <w:sz w:val="20"/>
    </w:rPr>
  </w:style>
  <w:style w:type="character" w:styleId="IntenseEmphasis">
    <w:name w:val="Intense Emphasis"/>
    <w:basedOn w:val="DefaultParagraphFont"/>
    <w:uiPriority w:val="21"/>
    <w:qFormat/>
    <w:rsid w:val="00FC693F"/>
    <w:rPr>
      <w:rFonts w:ascii="Aptos" w:hAnsi="Aptos"/>
      <w:b/>
      <w:bCs/>
      <w:i/>
      <w:iCs/>
      <w:color w:val="4F81BD" w:themeColor="accent1"/>
      <w:sz w:val="20"/>
    </w:rPr>
  </w:style>
  <w:style w:type="character" w:styleId="SubtleReference">
    <w:name w:val="Subtle Reference"/>
    <w:basedOn w:val="DefaultParagraphFont"/>
    <w:uiPriority w:val="31"/>
    <w:qFormat/>
    <w:rsid w:val="00FC693F"/>
    <w:rPr>
      <w:rFonts w:ascii="Aptos" w:hAnsi="Aptos"/>
      <w:smallCaps/>
      <w:color w:val="C0504D" w:themeColor="accent2"/>
      <w:sz w:val="20"/>
      <w:u w:val="single"/>
    </w:rPr>
  </w:style>
  <w:style w:type="character" w:styleId="IntenseReference">
    <w:name w:val="Intense Reference"/>
    <w:basedOn w:val="DefaultParagraphFont"/>
    <w:uiPriority w:val="32"/>
    <w:qFormat/>
    <w:rsid w:val="00FC693F"/>
    <w:rPr>
      <w:rFonts w:ascii="Aptos" w:hAnsi="Aptos"/>
      <w:b/>
      <w:bCs/>
      <w:smallCaps/>
      <w:color w:val="C0504D" w:themeColor="accent2"/>
      <w:spacing w:val="5"/>
      <w:sz w:val="20"/>
      <w:u w:val="single"/>
    </w:rPr>
  </w:style>
  <w:style w:type="character" w:styleId="BookTitle">
    <w:name w:val="Book Title"/>
    <w:basedOn w:val="DefaultParagraphFont"/>
    <w:uiPriority w:val="33"/>
    <w:qFormat/>
    <w:rsid w:val="00FC693F"/>
    <w:rPr>
      <w:rFonts w:ascii="Aptos" w:hAnsi="Aptos"/>
      <w:b/>
      <w:bCs/>
      <w:smallCaps/>
      <w:spacing w:val="5"/>
      <w:sz w:val="20"/>
    </w:rPr>
  </w:style>
  <w:style w:type="paragraph" w:styleId="TOCHeading">
    <w:name w:val="TOC Heading"/>
    <w:basedOn w:val="Heading1"/>
    <w:next w:val="Normal"/>
    <w:uiPriority w:val="39"/>
    <w:semiHidden/>
    <w:unhideWhenUsed/>
    <w:qFormat/>
    <w:rsid w:val="00FC693F"/>
    <w:pPr>
      <w:outlineLvl w:val="9"/>
    </w:pPr>
    <w:rPr>
      <w:rFonts w:ascii="Aptos" w:hAnsi="Aptos"/>
      <w:sz w:val="20"/>
    </w:rPr>
  </w:style>
  <w:style w:type="table" w:styleId="TableGrid">
    <w:name w:val="Table Grid"/>
    <w:basedOn w:val="TableNormal"/>
    <w:uiPriority w:val="59"/>
    <w:rsid w:val="00FC693F"/>
    <w:pPr>
      <w:spacing w:after="0" w:line="240" w:lineRule="auto"/>
    </w:pPr>
    <w:rPr>
      <w:rFonts w:ascii="Aptos" w:hAnsi="Aptos"/>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ptos" w:hAnsi="Aptos"/>
      <w:color w:val="000000" w:themeColor="text1" w:themeShade="BF"/>
      <w:sz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ptos" w:hAnsi="Aptos"/>
      <w:color w:val="365F91" w:themeColor="accent1" w:themeShade="BF"/>
      <w:sz w:val="2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ptos" w:hAnsi="Aptos"/>
      <w:color w:val="943634" w:themeColor="accent2" w:themeShade="BF"/>
      <w:sz w:val="2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ptos" w:hAnsi="Aptos"/>
      <w:color w:val="76923C" w:themeColor="accent3" w:themeShade="BF"/>
      <w:sz w:val="2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ptos" w:hAnsi="Aptos"/>
      <w:color w:val="5F497A" w:themeColor="accent4" w:themeShade="BF"/>
      <w:sz w:val="2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ptos" w:hAnsi="Aptos"/>
      <w:color w:val="31849B" w:themeColor="accent5" w:themeShade="BF"/>
      <w:sz w:val="2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ptos" w:hAnsi="Aptos"/>
      <w:color w:val="E36C0A" w:themeColor="accent6" w:themeShade="BF"/>
      <w:sz w:val="2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879</Words>
  <Characters>5015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Arborella Consultancy Ltd</cp:lastModifiedBy>
  <cp:revision>3</cp:revision>
  <dcterms:created xsi:type="dcterms:W3CDTF">2026-02-14T16:00:00Z</dcterms:created>
  <dcterms:modified xsi:type="dcterms:W3CDTF">2026-02-14T16:02:00Z</dcterms:modified>
  <cp:category/>
</cp:coreProperties>
</file>