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A3440B" w14:textId="11DE1B8E" w:rsidR="00F77871" w:rsidRPr="00E15B76" w:rsidRDefault="00000000" w:rsidP="00E15B76">
      <w:pPr>
        <w:spacing w:after="0"/>
        <w:jc w:val="center"/>
        <w:rPr>
          <w:rFonts w:ascii="Aptos Display" w:hAnsi="Aptos Display"/>
          <w:b/>
          <w:bCs/>
          <w:color w:val="FF0000"/>
          <w:sz w:val="20"/>
          <w:szCs w:val="20"/>
          <w:u w:val="single"/>
        </w:rPr>
      </w:pPr>
      <w:r w:rsidRPr="00E15B76">
        <w:rPr>
          <w:rFonts w:ascii="Aptos" w:hAnsi="Aptos" w:eastAsia="Aptos" w:cs="Aptos"/>
          <w:b/>
          <w:bCs/>
          <w:color w:val="FF0000"/>
          <w:sz w:val="20"/>
          <w:szCs w:val="20"/>
          <w:u w:val="single"/>
        </w:rPr>
        <w:t>COMPANY</w:t>
      </w:r>
    </w:p>
    <w:p w14:paraId="1E764B71" w14:textId="77777777" w:rsidR="00F77871" w:rsidRPr="00E15B76" w:rsidRDefault="00000000" w:rsidP="00E15B76">
      <w:pPr>
        <w:spacing w:after="0"/>
        <w:jc w:val="center"/>
        <w:rPr>
          <w:rFonts w:ascii="Aptos Display" w:hAnsi="Aptos Display"/>
          <w:sz w:val="20"/>
          <w:szCs w:val="20"/>
          <w:u w:val="single"/>
        </w:rPr>
      </w:pPr>
      <w:r w:rsidRPr="00E15B76">
        <w:rPr>
          <w:rFonts w:ascii="Aptos" w:hAnsi="Aptos" w:eastAsia="Aptos" w:cs="Aptos"/>
          <w:sz w:val="20"/>
          <w:szCs w:val="20"/>
          <w:u w:val="single"/>
        </w:rPr>
        <w:t>GENERIC RISK ASSESSMENT (GRA) – HAND-ARM VIBRATION (HAV)</w:t>
      </w:r>
      <w:r w:rsidRPr="00E15B76">
        <w:rPr>
          <w:rFonts w:ascii="Aptos" w:hAnsi="Aptos" w:eastAsia="Aptos" w:cs="Aptos"/>
          <w:sz w:val="20"/>
          <w:szCs w:val="20"/>
          <w:u w:val="single"/>
        </w:rPr>
        <w:br/>
      </w:r>
    </w:p>
    <w:p w14:paraId="3B38E1AD" w14:textId="77777777" w:rsidR="00F77871" w:rsidRPr="00E15B76" w:rsidRDefault="00000000">
      <w:pPr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Activity / Task: Use of hand-held and hand-guided vibrating equipment during arboricultural and grounds maintenance operations</w:t>
      </w:r>
    </w:p>
    <w:p w14:paraId="10368976" w14:textId="77777777" w:rsidR="00F77871" w:rsidRPr="00E15B76" w:rsidRDefault="00000000">
      <w:pPr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Document Ref: ARB-GRA-21</w:t>
      </w:r>
    </w:p>
    <w:p w14:paraId="17441EA7" w14:textId="77777777" w:rsidR="00F77871" w:rsidRPr="00E15B76" w:rsidRDefault="00000000">
      <w:pPr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Version: ____    Date Issued: ____    Review Date: ____</w:t>
      </w:r>
    </w:p>
    <w:p w14:paraId="2B58BBA5" w14:textId="77777777" w:rsidR="00F77871" w:rsidRPr="00E15B76" w:rsidRDefault="00000000">
      <w:pPr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Assessed by: ______________________________</w:t>
      </w:r>
      <w:r w:rsidRPr="00E15B76">
        <w:rPr>
          <w:rFonts w:ascii="Aptos" w:hAnsi="Aptos" w:eastAsia="Aptos" w:cs="Aptos"/>
          <w:sz w:val="20"/>
          <w:szCs w:val="20"/>
        </w:rPr>
        <w:br/>
      </w:r>
    </w:p>
    <w:p w14:paraId="06236DA8" w14:textId="77777777" w:rsidR="00F77871" w:rsidRPr="00E15B76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E15B76">
        <w:rPr>
          <w:rFonts w:ascii="Aptos" w:hAnsi="Aptos" w:eastAsia="Aptos" w:cs="Aptos"/>
          <w:color w:val="auto"/>
          <w:sz w:val="20"/>
          <w:szCs w:val="20"/>
        </w:rPr>
        <w:t>1. Scope of Risk Assessment</w:t>
      </w:r>
    </w:p>
    <w:p w14:paraId="183268CD" w14:textId="77777777" w:rsidR="00F77871" w:rsidRPr="00E15B76" w:rsidRDefault="00000000">
      <w:pPr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This Generic Risk Assessment (GRA) covers the risks associated with exposure to hand-arm vibration (HAV) from hand-held and hand-guided equipment including chainsaws, hedge trimmers, brush cutters, blowers, stump grinders and similar machinery. It applies to all employees and must be read alongside task-specific GRAs and site-specific risk assessments (SSRAs).</w:t>
      </w:r>
    </w:p>
    <w:p w14:paraId="60EB3EBD" w14:textId="77777777" w:rsidR="00F77871" w:rsidRPr="00E15B76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E15B76">
        <w:rPr>
          <w:rFonts w:ascii="Aptos" w:hAnsi="Aptos" w:eastAsia="Aptos" w:cs="Aptos"/>
          <w:color w:val="auto"/>
          <w:sz w:val="20"/>
          <w:szCs w:val="20"/>
        </w:rPr>
        <w:t>2. Responsibilities</w:t>
      </w:r>
    </w:p>
    <w:p w14:paraId="3BD2B054" w14:textId="77777777" w:rsidR="00F77871" w:rsidRPr="00E15B76" w:rsidRDefault="00000000">
      <w:pPr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Managers must comply with the Control of Vibration at Work Regulations 2005, ensure vibration exposure is assessed, implement suitable control measures, maintain exposure records and provide appropriate health surveillance.</w:t>
      </w:r>
    </w:p>
    <w:p w14:paraId="1CC34DED" w14:textId="77777777" w:rsidR="00F77871" w:rsidRPr="00E15B76" w:rsidRDefault="00000000">
      <w:pPr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Team Leaders must plan work to manage trigger time, brief daily exposure limits, rotate tasks where necessary and monitor compliance with control measures.</w:t>
      </w:r>
    </w:p>
    <w:p w14:paraId="0B91348C" w14:textId="77777777" w:rsidR="00F77871" w:rsidRPr="00E15B76" w:rsidRDefault="00000000">
      <w:pPr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Operators must follow safe systems of work, comply with allocated trigger times, report symptoms immediately and cooperate with health surveillance.</w:t>
      </w:r>
    </w:p>
    <w:p w14:paraId="5C99A238" w14:textId="77777777" w:rsidR="00F77871" w:rsidRPr="00E15B76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E15B76">
        <w:rPr>
          <w:rFonts w:ascii="Aptos" w:hAnsi="Aptos" w:eastAsia="Aptos" w:cs="Aptos"/>
          <w:color w:val="auto"/>
          <w:sz w:val="20"/>
          <w:szCs w:val="20"/>
        </w:rPr>
        <w:t>3. Persons at Risk</w:t>
      </w:r>
    </w:p>
    <w:p w14:paraId="0CF12380" w14:textId="77777777" w:rsidR="00F77871" w:rsidRPr="00E15B76" w:rsidRDefault="00000000">
      <w:pPr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cs="Aptos" w:eastAsia="Aptos"/>
          <w:sz w:val="20"/>
          <w:szCs w:val="20"/>
        </w:rPr>
        <w:t>☒</w:t>
      </w:r>
      <w:r w:rsidRPr="00E15B76">
        <w:rPr>
          <w:rFonts w:ascii="Aptos" w:hAnsi="Aptos" w:eastAsia="Aptos" w:cs="Aptos"/>
          <w:sz w:val="20"/>
          <w:szCs w:val="20"/>
        </w:rPr>
        <w:t xml:space="preserve"> Employees    ☐ Contractors (where </w:t>
      </w:r>
      <w:proofErr w:type="gramStart"/>
      <w:r w:rsidRPr="00E15B76">
        <w:rPr>
          <w:rFonts w:ascii="Aptos" w:hAnsi="Aptos" w:eastAsia="Aptos" w:cs="Aptos"/>
          <w:sz w:val="20"/>
          <w:szCs w:val="20"/>
        </w:rPr>
        <w:t xml:space="preserve">engaged)   </w:t>
      </w:r>
      <w:proofErr w:type="gramEnd"/>
      <w:r w:rsidRPr="00E15B76">
        <w:rPr>
          <w:rFonts w:ascii="Aptos" w:hAnsi="Aptos" w:eastAsia="Aptos" w:cs="Aptos"/>
          <w:sz w:val="20"/>
          <w:szCs w:val="20"/>
        </w:rPr>
        <w:t xml:space="preserve"> ☐ Members of the Public (indirect risk only)</w:t>
      </w:r>
    </w:p>
    <w:p w14:paraId="19EBA138" w14:textId="77777777" w:rsidR="00F77871" w:rsidRPr="00E15B76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E15B76">
        <w:rPr>
          <w:rFonts w:ascii="Aptos" w:hAnsi="Aptos" w:eastAsia="Aptos" w:cs="Aptos"/>
          <w:color w:val="auto"/>
          <w:sz w:val="20"/>
          <w:szCs w:val="20"/>
        </w:rPr>
        <w:t>4. PPE Requirements</w:t>
      </w:r>
    </w:p>
    <w:p w14:paraId="7F94B243" w14:textId="77777777" w:rsidR="00F77871" w:rsidRPr="00E15B76" w:rsidRDefault="00000000">
      <w:pPr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Gloves suitable for the task shall be worn to maintain warmth and grip. It is recognised that anti-vibration gloves do not significantly reduce HAV exposure but may improve comfort and grip. Additional PPE as identified within task-specific GRAs.</w:t>
      </w:r>
    </w:p>
    <w:p w14:paraId="0687BB24" w14:textId="77777777" w:rsidR="00F77871" w:rsidRPr="00E15B76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E15B76">
        <w:rPr>
          <w:rFonts w:ascii="Aptos" w:hAnsi="Aptos" w:eastAsia="Aptos" w:cs="Aptos"/>
          <w:color w:val="auto"/>
          <w:sz w:val="20"/>
          <w:szCs w:val="20"/>
        </w:rPr>
        <w:t>5. Health Surveillance &amp; Reporting</w:t>
      </w:r>
    </w:p>
    <w:p w14:paraId="2022FEDD" w14:textId="77777777" w:rsidR="00F77871" w:rsidRPr="00E15B76" w:rsidRDefault="00000000">
      <w:pPr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Health surveillance shall be implemented for employees likely to be exposed above the Exposure Action Value (EAV). Initial (baseline) assessment followed by annual HAV Stage 1 questionnaire. Referral to occupational health where symptoms are reported or identified. Operators must report symptoms such as tingling, numbness, blanching of fingers or loss of grip strength immediately.</w:t>
      </w:r>
    </w:p>
    <w:p w14:paraId="79983342" w14:textId="77777777" w:rsidR="00F77871" w:rsidRPr="00E15B76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E15B76">
        <w:rPr>
          <w:rFonts w:ascii="Aptos" w:hAnsi="Aptos" w:eastAsia="Aptos" w:cs="Aptos"/>
          <w:color w:val="auto"/>
          <w:sz w:val="20"/>
          <w:szCs w:val="20"/>
        </w:rPr>
        <w:t>6. Risk Matrix &amp; Scoring</w:t>
      </w:r>
    </w:p>
    <w:p w14:paraId="418C271E" w14:textId="77777777" w:rsidR="00E15B76" w:rsidRPr="00216D93" w:rsidRDefault="00E15B76" w:rsidP="00E15B76">
      <w:pPr>
        <w:rPr>
          <w:rFonts w:ascii="Aptos Display" w:hAnsi="Aptos Display"/>
          <w:sz w:val="20"/>
          <w:szCs w:val="20"/>
        </w:rPr>
      </w:pPr>
      <w:r>
        <w:rPr>
          <w:rFonts w:ascii="Aptos" w:hAnsi="Aptos" w:eastAsia="Aptos" w:cs="Aptos"/>
          <w:sz w:val="20"/>
        </w:rPr>
        <w:t>Risk is assessed using Likelihood (L) and Severity (S). Each rating must show the component scores and the calculation: L × S = Risk Rating. Initial risk is assessed before controls. Residual risk is reassessed after the listed controls using a new Residual L and Residual S score; these must not be copied from the initial assessment without review.</w:t>
      </w:r>
    </w:p>
    <w:tbl>
      <w:tblPr>
        <w:tblStyle w:val="TableGrid"/>
        <w:tblW w:w="0" w:type="auto"/>
        <w:tblInd w:w="1198" w:type="dxa"/>
        <w:tblLook w:val="04A0" w:firstRow="1" w:lastRow="0" w:firstColumn="1" w:lastColumn="0" w:noHBand="0" w:noVBand="1"/>
      </w:tblPr>
      <w:tblGrid>
        <w:gridCol w:w="2738"/>
        <w:gridCol w:w="1275"/>
        <w:gridCol w:w="1471"/>
        <w:gridCol w:w="1506"/>
        <w:gridCol w:w="1418"/>
        <w:gridCol w:w="1701"/>
      </w:tblGrid>
      <w:tr w:rsidR="00E15B76" w:rsidRPr="00216D93" w14:paraId="49127161" w14:textId="77777777" w:rsidTr="00FD207C">
        <w:tc>
          <w:tcPr>
            <w:tcW w:w="2738" w:type="dxa"/>
            <w:shd w:val="clear" w:color="auto" w:fill="BFBFBF" w:themeFill="background1" w:themeFillShade="BF"/>
          </w:tcPr>
          <w:p w14:paraId="38C581A4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Severity ↓ / Likelihood →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0C0B3EF5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 Rare</w:t>
            </w:r>
          </w:p>
        </w:tc>
        <w:tc>
          <w:tcPr>
            <w:tcW w:w="1471" w:type="dxa"/>
            <w:shd w:val="clear" w:color="auto" w:fill="BFBFBF" w:themeFill="background1" w:themeFillShade="BF"/>
          </w:tcPr>
          <w:p w14:paraId="267AF055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2 Unlikely</w:t>
            </w:r>
          </w:p>
        </w:tc>
        <w:tc>
          <w:tcPr>
            <w:tcW w:w="1506" w:type="dxa"/>
            <w:shd w:val="clear" w:color="auto" w:fill="BFBFBF" w:themeFill="background1" w:themeFillShade="BF"/>
          </w:tcPr>
          <w:p w14:paraId="5562B09D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3 Possible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461E58AB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4 Likely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153C659A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5 Very Likely</w:t>
            </w:r>
          </w:p>
        </w:tc>
      </w:tr>
      <w:tr w:rsidR="00E15B76" w:rsidRPr="00216D93" w14:paraId="7DDBE37D" w14:textId="77777777" w:rsidTr="00FD207C">
        <w:tc>
          <w:tcPr>
            <w:tcW w:w="2738" w:type="dxa"/>
          </w:tcPr>
          <w:p w14:paraId="63946510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 Minor</w:t>
            </w:r>
          </w:p>
        </w:tc>
        <w:tc>
          <w:tcPr>
            <w:tcW w:w="1275" w:type="dxa"/>
            <w:shd w:val="clear" w:color="auto" w:fill="92D050"/>
          </w:tcPr>
          <w:p w14:paraId="4EF5F3F3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</w:t>
            </w:r>
          </w:p>
        </w:tc>
        <w:tc>
          <w:tcPr>
            <w:tcW w:w="1471" w:type="dxa"/>
            <w:shd w:val="clear" w:color="auto" w:fill="92D050"/>
          </w:tcPr>
          <w:p w14:paraId="4C9C82A6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2</w:t>
            </w:r>
          </w:p>
        </w:tc>
        <w:tc>
          <w:tcPr>
            <w:tcW w:w="1506" w:type="dxa"/>
            <w:shd w:val="clear" w:color="auto" w:fill="92D050"/>
          </w:tcPr>
          <w:p w14:paraId="2B4CFE30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92D050"/>
          </w:tcPr>
          <w:p w14:paraId="43C02FC9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FBD4B4" w:themeFill="accent6" w:themeFillTint="66"/>
          </w:tcPr>
          <w:p w14:paraId="3EF5FC46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5</w:t>
            </w:r>
          </w:p>
        </w:tc>
      </w:tr>
      <w:tr w:rsidR="00E15B76" w:rsidRPr="00216D93" w14:paraId="67D23E1C" w14:textId="77777777" w:rsidTr="00FD207C">
        <w:tc>
          <w:tcPr>
            <w:tcW w:w="2738" w:type="dxa"/>
          </w:tcPr>
          <w:p w14:paraId="77B33F59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2 First Aid</w:t>
            </w:r>
          </w:p>
        </w:tc>
        <w:tc>
          <w:tcPr>
            <w:tcW w:w="1275" w:type="dxa"/>
            <w:shd w:val="clear" w:color="auto" w:fill="92D050"/>
          </w:tcPr>
          <w:p w14:paraId="32922CCC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2</w:t>
            </w:r>
          </w:p>
        </w:tc>
        <w:tc>
          <w:tcPr>
            <w:tcW w:w="1471" w:type="dxa"/>
            <w:shd w:val="clear" w:color="auto" w:fill="92D050"/>
          </w:tcPr>
          <w:p w14:paraId="2CCD6481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1506" w:type="dxa"/>
            <w:shd w:val="clear" w:color="auto" w:fill="FBD4B4" w:themeFill="accent6" w:themeFillTint="66"/>
          </w:tcPr>
          <w:p w14:paraId="5E956CE6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6</w:t>
            </w:r>
          </w:p>
        </w:tc>
        <w:tc>
          <w:tcPr>
            <w:tcW w:w="1418" w:type="dxa"/>
            <w:shd w:val="clear" w:color="auto" w:fill="FBD4B4" w:themeFill="accent6" w:themeFillTint="66"/>
          </w:tcPr>
          <w:p w14:paraId="257F8AB3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8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28F8B205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10</w:t>
            </w:r>
          </w:p>
        </w:tc>
      </w:tr>
      <w:tr w:rsidR="00E15B76" w:rsidRPr="00216D93" w14:paraId="4A8895E1" w14:textId="77777777" w:rsidTr="00FD207C">
        <w:tc>
          <w:tcPr>
            <w:tcW w:w="2738" w:type="dxa"/>
          </w:tcPr>
          <w:p w14:paraId="07A59F47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3 Medical</w:t>
            </w:r>
          </w:p>
        </w:tc>
        <w:tc>
          <w:tcPr>
            <w:tcW w:w="1275" w:type="dxa"/>
            <w:shd w:val="clear" w:color="auto" w:fill="92D050"/>
          </w:tcPr>
          <w:p w14:paraId="77DC17DE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1471" w:type="dxa"/>
            <w:shd w:val="clear" w:color="auto" w:fill="FBD4B4" w:themeFill="accent6" w:themeFillTint="66"/>
          </w:tcPr>
          <w:p w14:paraId="518C9EE0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6</w:t>
            </w:r>
          </w:p>
        </w:tc>
        <w:tc>
          <w:tcPr>
            <w:tcW w:w="1506" w:type="dxa"/>
            <w:shd w:val="clear" w:color="auto" w:fill="FBD4B4" w:themeFill="accent6" w:themeFillTint="66"/>
          </w:tcPr>
          <w:p w14:paraId="1AB7E18D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9</w:t>
            </w:r>
          </w:p>
        </w:tc>
        <w:tc>
          <w:tcPr>
            <w:tcW w:w="1418" w:type="dxa"/>
            <w:shd w:val="clear" w:color="auto" w:fill="E36C0A" w:themeFill="accent6" w:themeFillShade="BF"/>
          </w:tcPr>
          <w:p w14:paraId="1B54A076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12</w:t>
            </w:r>
          </w:p>
        </w:tc>
        <w:tc>
          <w:tcPr>
            <w:tcW w:w="1701" w:type="dxa"/>
            <w:shd w:val="clear" w:color="auto" w:fill="E36C0A" w:themeFill="accent6" w:themeFillShade="BF"/>
          </w:tcPr>
          <w:p w14:paraId="189C983A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15</w:t>
            </w:r>
          </w:p>
        </w:tc>
      </w:tr>
      <w:tr w:rsidR="00E15B76" w:rsidRPr="00216D93" w14:paraId="39011ABC" w14:textId="77777777" w:rsidTr="00FD207C">
        <w:tc>
          <w:tcPr>
            <w:tcW w:w="2738" w:type="dxa"/>
          </w:tcPr>
          <w:p w14:paraId="74EAA40A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4 Major</w:t>
            </w:r>
          </w:p>
        </w:tc>
        <w:tc>
          <w:tcPr>
            <w:tcW w:w="1275" w:type="dxa"/>
            <w:shd w:val="clear" w:color="auto" w:fill="92D050"/>
          </w:tcPr>
          <w:p w14:paraId="68A40286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1471" w:type="dxa"/>
            <w:shd w:val="clear" w:color="auto" w:fill="FBD4B4" w:themeFill="accent6" w:themeFillTint="66"/>
          </w:tcPr>
          <w:p w14:paraId="7701C849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8</w:t>
            </w:r>
          </w:p>
        </w:tc>
        <w:tc>
          <w:tcPr>
            <w:tcW w:w="1506" w:type="dxa"/>
            <w:shd w:val="clear" w:color="auto" w:fill="E36C0A" w:themeFill="accent6" w:themeFillShade="BF"/>
          </w:tcPr>
          <w:p w14:paraId="1A6D9128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12</w:t>
            </w:r>
          </w:p>
        </w:tc>
        <w:tc>
          <w:tcPr>
            <w:tcW w:w="1418" w:type="dxa"/>
            <w:shd w:val="clear" w:color="auto" w:fill="E36C0A" w:themeFill="accent6" w:themeFillShade="BF"/>
          </w:tcPr>
          <w:p w14:paraId="78666FF0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16</w:t>
            </w:r>
          </w:p>
        </w:tc>
        <w:tc>
          <w:tcPr>
            <w:tcW w:w="1701" w:type="dxa"/>
            <w:shd w:val="clear" w:color="auto" w:fill="FF0000"/>
          </w:tcPr>
          <w:p w14:paraId="0CE1442D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20</w:t>
            </w:r>
          </w:p>
        </w:tc>
      </w:tr>
      <w:tr w:rsidR="00E15B76" w:rsidRPr="00216D93" w14:paraId="397D0FAE" w14:textId="77777777" w:rsidTr="00FD207C">
        <w:tc>
          <w:tcPr>
            <w:tcW w:w="2738" w:type="dxa"/>
          </w:tcPr>
          <w:p w14:paraId="7A6B7476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5 Fatal</w:t>
            </w:r>
          </w:p>
        </w:tc>
        <w:tc>
          <w:tcPr>
            <w:tcW w:w="1275" w:type="dxa"/>
            <w:shd w:val="clear" w:color="auto" w:fill="FBD4B4" w:themeFill="accent6" w:themeFillTint="66"/>
          </w:tcPr>
          <w:p w14:paraId="075FCEBA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5</w:t>
            </w:r>
          </w:p>
        </w:tc>
        <w:tc>
          <w:tcPr>
            <w:tcW w:w="1471" w:type="dxa"/>
            <w:shd w:val="clear" w:color="auto" w:fill="E36C0A" w:themeFill="accent6" w:themeFillShade="BF"/>
          </w:tcPr>
          <w:p w14:paraId="018A72CA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10</w:t>
            </w:r>
          </w:p>
        </w:tc>
        <w:tc>
          <w:tcPr>
            <w:tcW w:w="1506" w:type="dxa"/>
            <w:shd w:val="clear" w:color="auto" w:fill="E36C0A" w:themeFill="accent6" w:themeFillShade="BF"/>
          </w:tcPr>
          <w:p w14:paraId="37627238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15</w:t>
            </w:r>
          </w:p>
        </w:tc>
        <w:tc>
          <w:tcPr>
            <w:tcW w:w="1418" w:type="dxa"/>
            <w:shd w:val="clear" w:color="auto" w:fill="FF0000"/>
          </w:tcPr>
          <w:p w14:paraId="56C4A915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20</w:t>
            </w:r>
          </w:p>
        </w:tc>
        <w:tc>
          <w:tcPr>
            <w:tcW w:w="1701" w:type="dxa"/>
            <w:shd w:val="clear" w:color="auto" w:fill="FF0000"/>
          </w:tcPr>
          <w:p w14:paraId="51976EA8" w14:textId="77777777" w:rsidR="00E15B76" w:rsidRPr="00216D93" w:rsidRDefault="00E15B76" w:rsidP="00FD207C">
            <w:pPr>
              <w:rPr>
                <w:rFonts w:ascii="Aptos Display" w:hAnsi="Aptos Display"/>
                <w:sz w:val="20"/>
                <w:szCs w:val="20"/>
              </w:rPr>
            </w:pPr>
            <w:r w:rsidRPr="00216D93">
              <w:rPr>
                <w:rFonts w:ascii="Aptos" w:hAnsi="Aptos" w:eastAsia="Aptos" w:cs="Aptos"/>
                <w:sz w:val="20"/>
                <w:szCs w:val="20"/>
              </w:rPr>
              <w:t>25</w:t>
            </w:r>
          </w:p>
        </w:tc>
      </w:tr>
    </w:tbl>
    <w:p w14:paraId="0DCF483A" w14:textId="77777777" w:rsidR="00E15B76" w:rsidRPr="00216D93" w:rsidRDefault="00E15B76" w:rsidP="00E15B76">
      <w:pPr>
        <w:rPr>
          <w:rFonts w:ascii="Aptos Display" w:hAnsi="Aptos Display"/>
          <w:sz w:val="20"/>
          <w:szCs w:val="20"/>
        </w:rPr>
      </w:pPr>
    </w:p>
    <w:p w14:paraId="5EF3560C" w14:textId="317160B8" w:rsidR="00F77871" w:rsidRPr="00E15B76" w:rsidRDefault="00E15B76">
      <w:pPr>
        <w:rPr>
          <w:rFonts w:ascii="Aptos Display" w:hAnsi="Aptos Display"/>
          <w:sz w:val="20"/>
          <w:szCs w:val="20"/>
        </w:rPr>
      </w:pPr>
      <w:r w:rsidRPr="00216D93">
        <w:rPr>
          <w:rFonts w:ascii="Aptos" w:hAnsi="Aptos" w:eastAsia="Aptos" w:cs="Aptos"/>
          <w:sz w:val="20"/>
          <w:szCs w:val="20"/>
        </w:rPr>
        <w:t>Risk bands: 1–4 Low | 5–9 Medium | 10–16 High | 17–25 Intolerable</w:t>
      </w:r>
    </w:p>
    <w:p w14:paraId="3838F9EE" w14:textId="77777777" w:rsidR="00F77871" w:rsidRPr="00E15B76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E15B76">
        <w:rPr>
          <w:rFonts w:ascii="Aptos" w:hAnsi="Aptos" w:eastAsia="Aptos" w:cs="Aptos"/>
          <w:color w:val="auto"/>
          <w:sz w:val="20"/>
          <w:szCs w:val="20"/>
        </w:rPr>
        <w:t>7. Relevant UK Legislation &amp; Guidance</w:t>
      </w:r>
    </w:p>
    <w:p w14:paraId="7CD8E4B1" w14:textId="77777777" w:rsidR="00F77871" w:rsidRPr="00E15B76" w:rsidRDefault="00000000" w:rsidP="00E15B76">
      <w:pPr>
        <w:spacing w:after="0"/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Health and Safety at Work etc. Act 1974</w:t>
      </w:r>
    </w:p>
    <w:p w14:paraId="27CA5436" w14:textId="77777777" w:rsidR="00F77871" w:rsidRPr="00E15B76" w:rsidRDefault="00000000" w:rsidP="00E15B76">
      <w:pPr>
        <w:spacing w:after="0"/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Management of Health and Safety at Work Regulations 1999</w:t>
      </w:r>
    </w:p>
    <w:p w14:paraId="180D637A" w14:textId="77777777" w:rsidR="00F77871" w:rsidRPr="00E15B76" w:rsidRDefault="00000000" w:rsidP="00E15B76">
      <w:pPr>
        <w:spacing w:after="0"/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Control of Vibration at Work Regulations 2005</w:t>
      </w:r>
    </w:p>
    <w:p w14:paraId="54ADFA37" w14:textId="77777777" w:rsidR="00F77871" w:rsidRPr="00E15B76" w:rsidRDefault="00000000" w:rsidP="00E15B76">
      <w:pPr>
        <w:spacing w:after="0"/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Provision and Use of Work Equipment Regulations 1998 (PUWER)</w:t>
      </w:r>
    </w:p>
    <w:p w14:paraId="3164E0FB" w14:textId="77777777" w:rsidR="00F77871" w:rsidRPr="00E15B76" w:rsidRDefault="00000000" w:rsidP="00E15B76">
      <w:pPr>
        <w:spacing w:after="0"/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HSE L140 – Hand-arm vibration</w:t>
      </w:r>
    </w:p>
    <w:p w14:paraId="0617BE3A" w14:textId="77777777" w:rsidR="00F77871" w:rsidRPr="00E15B76" w:rsidRDefault="00000000" w:rsidP="00E15B76">
      <w:pPr>
        <w:spacing w:after="0"/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HSE INDG175 – Vibration at Work</w:t>
      </w:r>
    </w:p>
    <w:p w14:paraId="57E95DA8" w14:textId="77777777" w:rsidR="00F77871" w:rsidRPr="00E15B76" w:rsidRDefault="00000000" w:rsidP="00E15B76">
      <w:pPr>
        <w:spacing w:after="0"/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FISA 805 – Training and Certification</w:t>
      </w:r>
    </w:p>
    <w:p w14:paraId="2EBAE4C7" w14:textId="77777777" w:rsidR="00F77871" w:rsidRPr="00E15B76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E15B76">
        <w:rPr>
          <w:rFonts w:ascii="Aptos" w:hAnsi="Aptos" w:eastAsia="Aptos" w:cs="Aptos"/>
          <w:color w:val="auto"/>
          <w:sz w:val="20"/>
          <w:szCs w:val="20"/>
        </w:rPr>
        <w:t>8. Exposure Action &amp; Limit Values</w:t>
      </w:r>
    </w:p>
    <w:p w14:paraId="52E76B9A" w14:textId="77777777" w:rsidR="00F77871" w:rsidRPr="00E15B76" w:rsidRDefault="00000000" w:rsidP="00E15B76">
      <w:pPr>
        <w:spacing w:after="0"/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 xml:space="preserve">Exposure Action Value (EAV): 2.5 m/s² </w:t>
      </w:r>
      <w:proofErr w:type="gramStart"/>
      <w:r w:rsidRPr="00E15B76">
        <w:rPr>
          <w:rFonts w:ascii="Aptos" w:hAnsi="Aptos" w:eastAsia="Aptos" w:cs="Aptos"/>
          <w:sz w:val="20"/>
          <w:szCs w:val="20"/>
        </w:rPr>
        <w:t>A(</w:t>
      </w:r>
      <w:proofErr w:type="gramEnd"/>
      <w:r w:rsidRPr="00E15B76">
        <w:rPr>
          <w:rFonts w:ascii="Aptos" w:hAnsi="Aptos" w:eastAsia="Aptos" w:cs="Aptos"/>
          <w:sz w:val="20"/>
          <w:szCs w:val="20"/>
        </w:rPr>
        <w:t>8) – requires management controls and health surveillance.</w:t>
      </w:r>
    </w:p>
    <w:p w14:paraId="1317CD76" w14:textId="77777777" w:rsidR="00F77871" w:rsidRPr="00E15B76" w:rsidRDefault="00000000" w:rsidP="00E15B76">
      <w:pPr>
        <w:spacing w:after="0"/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 xml:space="preserve">Exposure Limit Value (ELV): 5.0 m/s² </w:t>
      </w:r>
      <w:proofErr w:type="gramStart"/>
      <w:r w:rsidRPr="00E15B76">
        <w:rPr>
          <w:rFonts w:ascii="Aptos" w:hAnsi="Aptos" w:eastAsia="Aptos" w:cs="Aptos"/>
          <w:sz w:val="20"/>
          <w:szCs w:val="20"/>
        </w:rPr>
        <w:t>A(</w:t>
      </w:r>
      <w:proofErr w:type="gramEnd"/>
      <w:r w:rsidRPr="00E15B76">
        <w:rPr>
          <w:rFonts w:ascii="Aptos" w:hAnsi="Aptos" w:eastAsia="Aptos" w:cs="Aptos"/>
          <w:sz w:val="20"/>
          <w:szCs w:val="20"/>
        </w:rPr>
        <w:t>8) – must not be exceeded.</w:t>
      </w:r>
    </w:p>
    <w:p w14:paraId="1331EB88" w14:textId="77777777" w:rsidR="00F77871" w:rsidRPr="00E15B76" w:rsidRDefault="00000000" w:rsidP="00E15B76">
      <w:pPr>
        <w:spacing w:after="0"/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Exposure is calculated using vibration magnitude and trigger time in accordance with HSE guidance.</w:t>
      </w:r>
      <w:r w:rsidRPr="00E15B76">
        <w:rPr>
          <w:rFonts w:ascii="Aptos" w:hAnsi="Aptos" w:eastAsia="Aptos" w:cs="Aptos"/>
          <w:sz w:val="20"/>
          <w:szCs w:val="20"/>
        </w:rPr>
        <w:br/>
      </w:r>
    </w:p>
    <w:p w14:paraId="7D2574B4" w14:textId="77777777" w:rsidR="00F77871" w:rsidRPr="00E15B76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E15B76">
        <w:rPr>
          <w:rFonts w:ascii="Aptos" w:hAnsi="Aptos" w:eastAsia="Aptos" w:cs="Aptos"/>
          <w:color w:val="auto"/>
          <w:sz w:val="20"/>
          <w:szCs w:val="20"/>
        </w:rPr>
        <w:t>9. Hazards &amp; Control Measures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1978"/>
        <w:gridCol w:w="1559"/>
        <w:gridCol w:w="2268"/>
        <w:gridCol w:w="851"/>
        <w:gridCol w:w="850"/>
        <w:gridCol w:w="1109"/>
        <w:gridCol w:w="2860"/>
        <w:gridCol w:w="1470"/>
        <w:gridCol w:w="720"/>
        <w:gridCol w:w="936"/>
      </w:tblGrid>
      <w:tr w:rsidR="00E15B76" w:rsidRPr="00E15B76" w14:paraId="126F4B8D" w14:textId="77777777" w:rsidTr="00E15B76">
        <w:trPr>
          <w:trHeight w:val="363"/>
          <w:jc w:val="center"/>
          <w:tblHeader w:val="true"/>
          <w:cantSplit/>
        </w:trPr>
        <w:tc>
          <w:tcPr>
            <w:tcW w:w="1368" w:type="dxa"/>
            <w:shd w:val="clear" w:color="auto" w:fill="5E4B56" w:themeFill="background1" w:themeFillShade="D9"/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Hazard</w:t>
            </w:r>
          </w:p>
        </w:tc>
        <w:tc>
          <w:tcPr>
            <w:tcW w:w="1080" w:type="dxa"/>
            <w:shd w:val="clear" w:color="auto" w:fill="5E4B56" w:themeFill="background1" w:themeFillShade="D9"/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Persons at Risk</w:t>
            </w:r>
          </w:p>
        </w:tc>
        <w:tc>
          <w:tcPr>
            <w:tcW w:w="1584" w:type="dxa"/>
            <w:shd w:val="clear" w:color="auto" w:fill="5E4B56" w:themeFill="background1" w:themeFillShade="D9"/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How Harm May Occur</w:t>
            </w:r>
          </w:p>
        </w:tc>
        <w:tc>
          <w:tcPr>
            <w:tcW w:w="576" w:type="dxa"/>
            <w:shd w:val="clear" w:color="auto" w:fill="5E4B56" w:themeFill="background1" w:themeFillShade="D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Initial L</w:t>
            </w:r>
          </w:p>
        </w:tc>
        <w:tc>
          <w:tcPr>
            <w:tcW w:w="576" w:type="dxa"/>
            <w:shd w:val="clear" w:color="auto" w:fill="5E4B56" w:themeFill="background1" w:themeFillShade="D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Initial S</w:t>
            </w:r>
          </w:p>
        </w:tc>
        <w:tc>
          <w:tcPr>
            <w:tcW w:w="835" w:type="dxa"/>
            <w:shd w:val="clear" w:color="auto" w:fill="5E4B56" w:themeFill="background1" w:themeFillShade="D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Initial L×S</w:t>
            </w:r>
          </w:p>
        </w:tc>
        <w:tc>
          <w:tcPr>
            <w:tcW w:w="4104" w:type="dxa"/>
            <w:shd w:val="clear" w:color="auto" w:fill="5E4B56" w:themeFill="background1" w:themeFillShade="D9"/>
            <w:vAlign w:val="center"/>
          </w:tcPr>
          <w:p>
            <w:pPr>
              <w:spacing w:after="0" w:line="240" w:lineRule="auto"/>
              <w:jc w:val="left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Control Measures</w:t>
            </w:r>
          </w:p>
        </w:tc>
        <w:tc>
          <w:tcPr>
            <w:tcW w:w="720" w:type="dxa"/>
            <w:shd w:val="clear" w:color="auto" w:fill="5E4B56" w:themeFill="background1" w:themeFillShade="D9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Res. L</w:t>
            </w:r>
          </w:p>
        </w:tc>
        <w:tc>
          <w:tcPr>
            <w:tcW w:type="dxa" w:w="720"/>
            <w:vAlign w:val="center"/>
            <w:shd w:fill="5E4B56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Res. S</w:t>
            </w:r>
          </w:p>
        </w:tc>
        <w:tc>
          <w:tcPr>
            <w:tcW w:type="dxa" w:w="936"/>
            <w:vAlign w:val="center"/>
            <w:shd w:fill="5E4B56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FFFFFF"/>
                <w:sz w:val="20"/>
              </w:rPr>
              <w:t>Res. L×S</w:t>
            </w:r>
          </w:p>
        </w:tc>
      </w:tr>
      <w:tr w:rsidR="00E15B76" w:rsidRPr="00E15B76" w14:paraId="061E02D5" w14:textId="77777777" w:rsidTr="00E15B76">
        <w:trPr>
          <w:jc w:val="center"/>
          <w:cantSplit/>
        </w:trPr>
        <w:tc>
          <w:tcPr>
            <w:tcW w:w="1368" w:type="dxa"/>
            <w:shd w:fill="FFFFFF"/>
          </w:tcPr>
          <w:p w14:paraId="52B223BB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 xml:space="preserve">Exposure above Exposure Action Value (2.5 m/s² </w:t>
            </w:r>
            <w:proofErr w:type="gramStart"/>
            <w:r w:rsidRPr="00E15B76">
              <w:rPr>
                <w:rFonts w:ascii="Aptos" w:hAnsi="Aptos" w:eastAsia="Aptos" w:cs="Aptos"/>
                <w:sz w:val="20"/>
                <w:szCs w:val="20"/>
              </w:rPr>
              <w:t>A(</w:t>
            </w:r>
            <w:proofErr w:type="gramEnd"/>
            <w:r w:rsidRPr="00E15B76">
              <w:rPr>
                <w:rFonts w:ascii="Aptos" w:hAnsi="Aptos" w:eastAsia="Aptos" w:cs="Aptos"/>
                <w:sz w:val="20"/>
                <w:szCs w:val="20"/>
              </w:rPr>
              <w:t>8))</w:t>
            </w:r>
          </w:p>
        </w:tc>
        <w:tc>
          <w:tcPr>
            <w:tcW w:w="1080" w:type="dxa"/>
            <w:shd w:fill="FFFFFF"/>
          </w:tcPr>
          <w:p w14:paraId="1711B007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Operators</w:t>
            </w:r>
          </w:p>
        </w:tc>
        <w:tc>
          <w:tcPr>
            <w:tcW w:w="1584" w:type="dxa"/>
            <w:shd w:fill="FFFFFF"/>
          </w:tcPr>
          <w:p w14:paraId="1C9AB005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Development of Hand-Arm Vibration Syndrome (HAVS), vascular and neurological damage</w:t>
            </w:r>
          </w:p>
        </w:tc>
        <w:tc>
          <w:tcPr>
            <w:tcW w:w="576" w:type="dxa"/>
            <w:shd w:val="clear" w:color="auto" w:fill="FFFFFF"/>
          </w:tcPr>
          <w:p w14:paraId="755F817C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576" w:type="dxa"/>
            <w:shd w:val="clear" w:color="auto" w:fill="FFFFFF"/>
          </w:tcPr>
          <w:p w14:paraId="6BF771CC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0ED593C7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color w:val="FFFFFF"/>
                <w:sz w:val="20"/>
                <w:szCs w:val="20"/>
              </w:rPr>
              <w:t>16</w:t>
            </w:r>
          </w:p>
        </w:tc>
        <w:tc>
          <w:tcPr>
            <w:tcW w:w="4104" w:type="dxa"/>
            <w:shd w:fill="FFFFFF"/>
          </w:tcPr>
          <w:p w14:paraId="3292E5BA" w14:textId="62B2B484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 xml:space="preserve">A documented vibration risk assessment completed for all relevant equipment; vibration magnitudes sourced from manufacturer data or HSE database using worst-case value where uncertainty exists; daily exposure calculated using HSE Ready Reckoner or HAV calculator; cumulative exposure across multiple tools calculated; trigger times allocated and briefed daily by Team Leader; exposure register maintained centrally; task rotation implemented; lower vibration equipment selected where reasonably practicable; procurement policy </w:t>
            </w:r>
            <w:r w:rsidRPr="00E15B76">
              <w:rPr>
                <w:rFonts w:ascii="Aptos" w:hAnsi="Aptos" w:eastAsia="Aptos" w:cs="Aptos"/>
                <w:sz w:val="20"/>
                <w:szCs w:val="20"/>
              </w:rPr>
              <w:t>prioritizes</w:t>
            </w:r>
            <w:r w:rsidRPr="00E15B76">
              <w:rPr>
                <w:rFonts w:ascii="Aptos" w:hAnsi="Aptos" w:eastAsia="Aptos" w:cs="Aptos"/>
                <w:sz w:val="20"/>
                <w:szCs w:val="20"/>
              </w:rPr>
              <w:t xml:space="preserve"> low-vibration machinery; health surveillance initiated at or above EAV; records retained for audit.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FFFFF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936"/>
            <w:vAlign w:val="center"/>
            <w:shd w:fill="92D050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4</w:t>
            </w:r>
          </w:p>
        </w:tc>
      </w:tr>
      <w:tr w:rsidR="00E15B76" w:rsidRPr="00E15B76" w14:paraId="13BFB651" w14:textId="77777777" w:rsidTr="00E15B76">
        <w:trPr>
          <w:jc w:val="center"/>
          <w:cantSplit/>
        </w:trPr>
        <w:tc>
          <w:tcPr>
            <w:tcW w:w="1368" w:type="dxa"/>
            <w:shd w:fill="F4F0F7"/>
          </w:tcPr>
          <w:p w14:paraId="485F5063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 xml:space="preserve">Exposure exceeding Exposure Limit Value </w:t>
            </w:r>
            <w:r w:rsidRPr="00E15B76">
              <w:rPr>
                <w:rFonts w:ascii="Aptos" w:hAnsi="Aptos" w:eastAsia="Aptos" w:cs="Aptos"/>
                <w:sz w:val="20"/>
                <w:szCs w:val="20"/>
              </w:rPr>
              <w:lastRenderedPageBreak/>
              <w:t xml:space="preserve">(5.0 m/s² </w:t>
            </w:r>
            <w:proofErr w:type="gramStart"/>
            <w:r w:rsidRPr="00E15B76">
              <w:rPr>
                <w:rFonts w:ascii="Aptos" w:hAnsi="Aptos" w:eastAsia="Aptos" w:cs="Aptos"/>
                <w:sz w:val="20"/>
                <w:szCs w:val="20"/>
              </w:rPr>
              <w:t>A(</w:t>
            </w:r>
            <w:proofErr w:type="gramEnd"/>
            <w:r w:rsidRPr="00E15B76">
              <w:rPr>
                <w:rFonts w:ascii="Aptos" w:hAnsi="Aptos" w:eastAsia="Aptos" w:cs="Aptos"/>
                <w:sz w:val="20"/>
                <w:szCs w:val="20"/>
              </w:rPr>
              <w:t>8))</w:t>
            </w:r>
          </w:p>
        </w:tc>
        <w:tc>
          <w:tcPr>
            <w:tcW w:w="1080" w:type="dxa"/>
            <w:shd w:fill="F4F0F7"/>
          </w:tcPr>
          <w:p w14:paraId="0B9BC9D9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lastRenderedPageBreak/>
              <w:t>Operators</w:t>
            </w:r>
          </w:p>
        </w:tc>
        <w:tc>
          <w:tcPr>
            <w:tcW w:w="1584" w:type="dxa"/>
            <w:shd w:fill="F4F0F7"/>
          </w:tcPr>
          <w:p w14:paraId="729B422D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 xml:space="preserve">Severe and potentially </w:t>
            </w:r>
            <w:r w:rsidRPr="00E15B76">
              <w:rPr>
                <w:rFonts w:ascii="Aptos" w:hAnsi="Aptos" w:eastAsia="Aptos" w:cs="Aptos"/>
                <w:sz w:val="20"/>
                <w:szCs w:val="20"/>
              </w:rPr>
              <w:lastRenderedPageBreak/>
              <w:t>irreversible HAVS</w:t>
            </w:r>
          </w:p>
        </w:tc>
        <w:tc>
          <w:tcPr>
            <w:tcW w:w="576" w:type="dxa"/>
            <w:shd w:val="clear" w:color="auto" w:fill="F4F0F7"/>
          </w:tcPr>
          <w:p w14:paraId="4946A8F7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lastRenderedPageBreak/>
              <w:t>3</w:t>
            </w:r>
          </w:p>
        </w:tc>
        <w:tc>
          <w:tcPr>
            <w:tcW w:w="576" w:type="dxa"/>
            <w:shd w:val="clear" w:color="auto" w:fill="F4F0F7" w:themeFill="accent6" w:themeFillTint="33"/>
          </w:tcPr>
          <w:p w14:paraId="36CCE5DF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5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6D9B6331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color w:val="FFFFFF"/>
                <w:sz w:val="20"/>
                <w:szCs w:val="20"/>
              </w:rPr>
              <w:t>15</w:t>
            </w:r>
          </w:p>
        </w:tc>
        <w:tc>
          <w:tcPr>
            <w:tcW w:w="4104" w:type="dxa"/>
            <w:shd w:fill="F4F0F7"/>
          </w:tcPr>
          <w:p w14:paraId="7D393E11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ELV must not be exceeded under any circumstances; real-</w:t>
            </w:r>
            <w:r w:rsidRPr="00E15B76">
              <w:rPr>
                <w:rFonts w:ascii="Aptos" w:hAnsi="Aptos" w:eastAsia="Aptos" w:cs="Aptos"/>
                <w:sz w:val="20"/>
                <w:szCs w:val="20"/>
              </w:rPr>
              <w:lastRenderedPageBreak/>
              <w:t>time monitoring of trigger time; work stopped immediately if ELV likely to be reached; operator reassigned to non-vibrating task; incident recorded as near exceedance; planning reviewed by Manager; equipment suitability reassessed; corrective actions documented; exposure records reviewed to prevent recurrence.</w:t>
            </w:r>
          </w:p>
        </w:tc>
        <w:tc>
          <w:tcPr>
            <w:tcW w:w="720" w:type="dxa"/>
            <w:shd w:val="clear" w:color="auto" w:fill="F4F0F7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4F0F7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5</w:t>
            </w:r>
          </w:p>
        </w:tc>
        <w:tc>
          <w:tcPr>
            <w:tcW w:type="dxa" w:w="936"/>
            <w:vAlign w:val="center"/>
            <w:shd w:fill="F8CBAD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5</w:t>
            </w:r>
          </w:p>
        </w:tc>
      </w:tr>
      <w:tr w:rsidR="00E15B76" w:rsidRPr="00E15B76" w14:paraId="610AAEBC" w14:textId="77777777" w:rsidTr="00E15B76">
        <w:trPr>
          <w:jc w:val="center"/>
          <w:cantSplit/>
        </w:trPr>
        <w:tc>
          <w:tcPr>
            <w:tcW w:w="1368" w:type="dxa"/>
            <w:shd w:fill="FFFFFF"/>
          </w:tcPr>
          <w:p w14:paraId="3CC20A8E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Cumulative exposure from multiple vibrating tools in single shift</w:t>
            </w:r>
          </w:p>
        </w:tc>
        <w:tc>
          <w:tcPr>
            <w:tcW w:w="1080" w:type="dxa"/>
            <w:shd w:fill="FFFFFF"/>
          </w:tcPr>
          <w:p w14:paraId="7B1BCE36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Operators</w:t>
            </w:r>
          </w:p>
        </w:tc>
        <w:tc>
          <w:tcPr>
            <w:tcW w:w="1584" w:type="dxa"/>
            <w:shd w:fill="FFFFFF"/>
          </w:tcPr>
          <w:p w14:paraId="74C2EBA5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Unplanned combined exposure exceeding EAV/ELV</w:t>
            </w:r>
          </w:p>
        </w:tc>
        <w:tc>
          <w:tcPr>
            <w:tcW w:w="576" w:type="dxa"/>
            <w:shd w:val="clear" w:color="auto" w:fill="FFFFFF"/>
          </w:tcPr>
          <w:p w14:paraId="74D706B5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576" w:type="dxa"/>
            <w:shd w:val="clear" w:color="auto" w:fill="FFFFFF"/>
          </w:tcPr>
          <w:p w14:paraId="78295200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643BBAC4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color w:val="FFFFFF"/>
                <w:sz w:val="20"/>
                <w:szCs w:val="20"/>
              </w:rPr>
              <w:t>12</w:t>
            </w:r>
          </w:p>
        </w:tc>
        <w:tc>
          <w:tcPr>
            <w:tcW w:w="4104" w:type="dxa"/>
            <w:shd w:fill="FFFFFF"/>
          </w:tcPr>
          <w:p w14:paraId="6278D947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Daily task planning includes total exposure across all tools; cumulative trigger time tracked; HAV calculator used to combine magnitudes; no assumption that short duration tools are negligible; Team Leader verifies totals at mid-shift where high-risk tasks planned; operators briefed on maximum allowable combined trigger time.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FFFFF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936"/>
            <w:vAlign w:val="center"/>
            <w:shd w:fill="92D050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4</w:t>
            </w:r>
          </w:p>
        </w:tc>
      </w:tr>
      <w:tr w:rsidR="00E15B76" w:rsidRPr="00E15B76" w14:paraId="64E42A48" w14:textId="77777777" w:rsidTr="00E15B76">
        <w:trPr>
          <w:jc w:val="center"/>
          <w:cantSplit/>
        </w:trPr>
        <w:tc>
          <w:tcPr>
            <w:tcW w:w="1368" w:type="dxa"/>
            <w:shd w:fill="F4F0F7"/>
          </w:tcPr>
          <w:p w14:paraId="71DE5156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Poor maintenance increasing vibration magnitude</w:t>
            </w:r>
          </w:p>
        </w:tc>
        <w:tc>
          <w:tcPr>
            <w:tcW w:w="1080" w:type="dxa"/>
            <w:shd w:fill="F4F0F7"/>
          </w:tcPr>
          <w:p w14:paraId="78E357C9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Operators</w:t>
            </w:r>
          </w:p>
        </w:tc>
        <w:tc>
          <w:tcPr>
            <w:tcW w:w="1584" w:type="dxa"/>
            <w:shd w:fill="F4F0F7"/>
          </w:tcPr>
          <w:p w14:paraId="44ABAA7D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Increased HAV exposure due to worn mounts, blunt blades or imbalance</w:t>
            </w:r>
          </w:p>
        </w:tc>
        <w:tc>
          <w:tcPr>
            <w:tcW w:w="576" w:type="dxa"/>
            <w:shd w:val="clear" w:color="auto" w:fill="F4F0F7"/>
          </w:tcPr>
          <w:p w14:paraId="08B8499E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576" w:type="dxa"/>
            <w:shd w:val="clear" w:color="auto" w:fill="F4F0F7"/>
          </w:tcPr>
          <w:p w14:paraId="20ECDB76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39AC0606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color w:val="FFFFFF"/>
                <w:sz w:val="20"/>
                <w:szCs w:val="20"/>
              </w:rPr>
              <w:t>12</w:t>
            </w:r>
          </w:p>
        </w:tc>
        <w:tc>
          <w:tcPr>
            <w:tcW w:w="4104" w:type="dxa"/>
            <w:shd w:fill="F4F0F7"/>
          </w:tcPr>
          <w:p w14:paraId="176FEAF3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 xml:space="preserve">PUWER maintenance regime in place; anti-vibration mounts inspected; cutting attachments sharpened and balanced; bearings checked; defective equipment removed from service immediately; servicing </w:t>
            </w:r>
            <w:r w:rsidRPr="00E15B76">
              <w:rPr>
                <w:rFonts w:ascii="Aptos" w:hAnsi="Aptos" w:eastAsia="Aptos" w:cs="Aptos"/>
                <w:sz w:val="20"/>
                <w:szCs w:val="20"/>
              </w:rPr>
              <w:lastRenderedPageBreak/>
              <w:t>records retained; vibration magnitude reviewed following major repair.</w:t>
            </w:r>
          </w:p>
        </w:tc>
        <w:tc>
          <w:tcPr>
            <w:tcW w:w="720" w:type="dxa"/>
            <w:shd w:val="clear" w:color="auto" w:fill="F4F0F7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4F0F7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936"/>
            <w:vAlign w:val="center"/>
            <w:shd w:fill="92D050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4</w:t>
            </w:r>
          </w:p>
        </w:tc>
      </w:tr>
      <w:tr w:rsidR="00E15B76" w:rsidRPr="00E15B76" w14:paraId="18D645F9" w14:textId="77777777" w:rsidTr="00E15B76">
        <w:trPr>
          <w:jc w:val="center"/>
          <w:cantSplit/>
        </w:trPr>
        <w:tc>
          <w:tcPr>
            <w:tcW w:w="1368" w:type="dxa"/>
            <w:shd w:fill="FFFFFF"/>
          </w:tcPr>
          <w:p w14:paraId="2036F163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Inadequate planning of work activities</w:t>
            </w:r>
          </w:p>
        </w:tc>
        <w:tc>
          <w:tcPr>
            <w:tcW w:w="1080" w:type="dxa"/>
            <w:shd w:fill="FFFFFF"/>
          </w:tcPr>
          <w:p w14:paraId="76D725A6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Operators</w:t>
            </w:r>
          </w:p>
        </w:tc>
        <w:tc>
          <w:tcPr>
            <w:tcW w:w="1584" w:type="dxa"/>
            <w:shd w:fill="FFFFFF"/>
          </w:tcPr>
          <w:p w14:paraId="36CC4478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Excessive continuous exposure without recovery time</w:t>
            </w:r>
          </w:p>
        </w:tc>
        <w:tc>
          <w:tcPr>
            <w:tcW w:w="576" w:type="dxa"/>
            <w:shd w:val="clear" w:color="auto" w:fill="FFFFFF"/>
          </w:tcPr>
          <w:p w14:paraId="556B907A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576" w:type="dxa"/>
            <w:shd w:val="clear" w:color="auto" w:fill="FFFFFF"/>
          </w:tcPr>
          <w:p w14:paraId="1A926CD8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7E6649BF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color w:val="FFFFFF"/>
                <w:sz w:val="20"/>
                <w:szCs w:val="20"/>
              </w:rPr>
              <w:t>12</w:t>
            </w:r>
          </w:p>
        </w:tc>
        <w:tc>
          <w:tcPr>
            <w:tcW w:w="4104" w:type="dxa"/>
            <w:shd w:fill="FFFFFF"/>
          </w:tcPr>
          <w:p w14:paraId="352815D4" w14:textId="1B1361F3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 xml:space="preserve">Work scheduled to break up high vibration tasks; no prolonged continuous trigger time; structured rest periods; rotation between vibrating and non-vibrating tasks; Managers review high-exposure </w:t>
            </w:r>
            <w:r>
              <w:rPr>
                <w:rFonts w:ascii="Aptos" w:hAnsi="Aptos" w:eastAsia="Aptos" w:cs="Aptos"/>
                <w:sz w:val="20"/>
                <w:szCs w:val="20"/>
              </w:rPr>
              <w:t>jobs</w:t>
            </w:r>
            <w:r w:rsidRPr="00E15B76">
              <w:rPr>
                <w:rFonts w:ascii="Aptos" w:hAnsi="Aptos" w:eastAsia="Aptos" w:cs="Aptos"/>
                <w:sz w:val="20"/>
                <w:szCs w:val="20"/>
              </w:rPr>
              <w:t xml:space="preserve"> in advance; high-risk days identified during planning stage.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FFFFF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936"/>
            <w:vAlign w:val="center"/>
            <w:shd w:fill="92D050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4</w:t>
            </w:r>
          </w:p>
        </w:tc>
      </w:tr>
      <w:tr w:rsidR="00E15B76" w:rsidRPr="00E15B76" w14:paraId="4B35EE8C" w14:textId="77777777" w:rsidTr="00E15B76">
        <w:trPr>
          <w:trHeight w:val="2442"/>
          <w:jc w:val="center"/>
          <w:cantSplit/>
        </w:trPr>
        <w:tc>
          <w:tcPr>
            <w:tcW w:w="1368" w:type="dxa"/>
            <w:shd w:fill="F4F0F7"/>
          </w:tcPr>
          <w:p w14:paraId="6F47329A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Cold conditions exacerbating vibration injury</w:t>
            </w:r>
          </w:p>
        </w:tc>
        <w:tc>
          <w:tcPr>
            <w:tcW w:w="1080" w:type="dxa"/>
            <w:shd w:fill="F4F0F7"/>
          </w:tcPr>
          <w:p w14:paraId="196D3349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Operators</w:t>
            </w:r>
          </w:p>
        </w:tc>
        <w:tc>
          <w:tcPr>
            <w:tcW w:w="1584" w:type="dxa"/>
            <w:shd w:fill="F4F0F7"/>
          </w:tcPr>
          <w:p w14:paraId="0D553C3B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Restricted blood flow increasing risk of vibration white finger</w:t>
            </w:r>
          </w:p>
        </w:tc>
        <w:tc>
          <w:tcPr>
            <w:tcW w:w="576" w:type="dxa"/>
            <w:shd w:val="clear" w:color="auto" w:fill="F4F0F7"/>
          </w:tcPr>
          <w:p w14:paraId="19F46C91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576" w:type="dxa"/>
            <w:shd w:val="clear" w:color="auto" w:fill="F4F0F7"/>
          </w:tcPr>
          <w:p w14:paraId="50F5B4F1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835" w:type="dxa"/>
            <w:shd w:val="clear" w:color="auto" w:fill="F8CBAD" w:themeFill="accent6" w:themeFillTint="33"/>
          </w:tcPr>
          <w:p w14:paraId="7D2B5937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color w:val="000000"/>
                <w:sz w:val="20"/>
                <w:szCs w:val="20"/>
              </w:rPr>
              <w:t>9</w:t>
            </w:r>
          </w:p>
        </w:tc>
        <w:tc>
          <w:tcPr>
            <w:tcW w:w="4104" w:type="dxa"/>
            <w:shd w:fill="F4F0F7"/>
          </w:tcPr>
          <w:p w14:paraId="030A80C1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Weather forecast checked during planning; warm gloves and layered clothing provided; encourage hand warming exercises during breaks; limit exposure duration in extreme cold; welfare breaks enforced; operators advised to report blanching immediately.</w:t>
            </w:r>
          </w:p>
        </w:tc>
        <w:tc>
          <w:tcPr>
            <w:tcW w:w="720" w:type="dxa"/>
            <w:shd w:val="clear" w:color="auto" w:fill="F4F0F7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4F0F7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936"/>
            <w:vAlign w:val="center"/>
            <w:shd w:fill="92D050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3</w:t>
            </w:r>
          </w:p>
        </w:tc>
      </w:tr>
      <w:tr w:rsidR="00E15B76" w:rsidRPr="00E15B76" w14:paraId="407BFF65" w14:textId="77777777" w:rsidTr="00E15B76">
        <w:trPr>
          <w:jc w:val="center"/>
          <w:cantSplit/>
        </w:trPr>
        <w:tc>
          <w:tcPr>
            <w:tcW w:w="1368" w:type="dxa"/>
            <w:shd w:fill="FFFFFF"/>
          </w:tcPr>
          <w:p w14:paraId="6F0D4287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Failure to report early symptoms</w:t>
            </w:r>
          </w:p>
        </w:tc>
        <w:tc>
          <w:tcPr>
            <w:tcW w:w="1080" w:type="dxa"/>
            <w:shd w:fill="FFFFFF"/>
          </w:tcPr>
          <w:p w14:paraId="6ABE34CB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Operators</w:t>
            </w:r>
          </w:p>
        </w:tc>
        <w:tc>
          <w:tcPr>
            <w:tcW w:w="1584" w:type="dxa"/>
            <w:shd w:fill="FFFFFF"/>
          </w:tcPr>
          <w:p w14:paraId="1DFC4469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Progression of HAVS due to delayed intervention</w:t>
            </w:r>
          </w:p>
        </w:tc>
        <w:tc>
          <w:tcPr>
            <w:tcW w:w="576" w:type="dxa"/>
            <w:shd w:val="clear" w:color="auto" w:fill="FFFFFF"/>
          </w:tcPr>
          <w:p w14:paraId="71D942DD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576" w:type="dxa"/>
            <w:shd w:val="clear" w:color="auto" w:fill="FFFFFF"/>
          </w:tcPr>
          <w:p w14:paraId="36E70681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57F16432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color w:val="FFFFFF"/>
                <w:sz w:val="20"/>
                <w:szCs w:val="20"/>
              </w:rPr>
              <w:t>12</w:t>
            </w:r>
          </w:p>
        </w:tc>
        <w:tc>
          <w:tcPr>
            <w:tcW w:w="4104" w:type="dxa"/>
            <w:shd w:fill="FFFFFF"/>
          </w:tcPr>
          <w:p w14:paraId="629DAA21" w14:textId="5E2501ED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Formal health surveillance program</w:t>
            </w:r>
            <w:r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0E15B76">
              <w:rPr>
                <w:rFonts w:ascii="Aptos" w:hAnsi="Aptos" w:eastAsia="Aptos" w:cs="Aptos"/>
                <w:sz w:val="20"/>
                <w:szCs w:val="20"/>
              </w:rPr>
              <w:t xml:space="preserve">in place (baseline + annual questionnaire); confidential reporting encouraged; symptoms trigger occupational health referral; Managers trained to </w:t>
            </w:r>
            <w:proofErr w:type="spellStart"/>
            <w:r w:rsidRPr="00E15B76">
              <w:rPr>
                <w:rFonts w:ascii="Aptos" w:hAnsi="Aptos" w:eastAsia="Aptos" w:cs="Aptos"/>
                <w:sz w:val="20"/>
                <w:szCs w:val="20"/>
              </w:rPr>
              <w:t>recognise</w:t>
            </w:r>
            <w:proofErr w:type="spellEnd"/>
            <w:r w:rsidRPr="00E15B76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00E15B76">
              <w:rPr>
                <w:rFonts w:ascii="Aptos" w:hAnsi="Aptos" w:eastAsia="Aptos" w:cs="Aptos"/>
                <w:sz w:val="20"/>
                <w:szCs w:val="20"/>
              </w:rPr>
              <w:lastRenderedPageBreak/>
              <w:t>signs; records retained confidentially; work modified pending assessment where symptoms reported.</w:t>
            </w:r>
          </w:p>
        </w:tc>
        <w:tc>
          <w:tcPr>
            <w:tcW w:w="720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FFFFF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936"/>
            <w:vAlign w:val="center"/>
            <w:shd w:fill="92D050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4</w:t>
            </w:r>
          </w:p>
        </w:tc>
      </w:tr>
      <w:tr w:rsidR="00E15B76" w:rsidRPr="00E15B76" w14:paraId="06578191" w14:textId="77777777" w:rsidTr="00E15B76">
        <w:trPr>
          <w:jc w:val="center"/>
          <w:cantSplit/>
        </w:trPr>
        <w:tc>
          <w:tcPr>
            <w:tcW w:w="1368" w:type="dxa"/>
            <w:shd w:fill="F4F0F7"/>
          </w:tcPr>
          <w:p w14:paraId="70018A8C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Lack of operator awareness of HAV risk</w:t>
            </w:r>
          </w:p>
        </w:tc>
        <w:tc>
          <w:tcPr>
            <w:tcW w:w="1080" w:type="dxa"/>
            <w:shd w:fill="F4F0F7"/>
          </w:tcPr>
          <w:p w14:paraId="062D1A4B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Operators</w:t>
            </w:r>
          </w:p>
        </w:tc>
        <w:tc>
          <w:tcPr>
            <w:tcW w:w="1584" w:type="dxa"/>
            <w:shd w:fill="F4F0F7"/>
          </w:tcPr>
          <w:p w14:paraId="0B566546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Unsafe exposure due to misunderstanding of risk</w:t>
            </w:r>
          </w:p>
        </w:tc>
        <w:tc>
          <w:tcPr>
            <w:tcW w:w="576" w:type="dxa"/>
            <w:shd w:val="clear" w:color="auto" w:fill="F4F0F7"/>
          </w:tcPr>
          <w:p w14:paraId="0C77E07C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3</w:t>
            </w:r>
          </w:p>
        </w:tc>
        <w:tc>
          <w:tcPr>
            <w:tcW w:w="576" w:type="dxa"/>
            <w:shd w:val="clear" w:color="auto" w:fill="F4F0F7"/>
          </w:tcPr>
          <w:p w14:paraId="6DEBB568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4</w:t>
            </w:r>
          </w:p>
        </w:tc>
        <w:tc>
          <w:tcPr>
            <w:tcW w:w="835" w:type="dxa"/>
            <w:shd w:val="clear" w:color="auto" w:fill="ED7D31" w:themeFill="accent6" w:themeFillShade="BF"/>
          </w:tcPr>
          <w:p w14:paraId="069B581C" w14:textId="77777777" w:rsidR="00E15B76" w:rsidRPr="00E15B76" w:rsidRDefault="00E15B76" w:rsidP="00FD207C">
            <w:pPr>
              <w:spacing w:after="0" w:line="240" w:lineRule="auto"/>
              <w:jc w:val="center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color w:val="FFFFFF"/>
                <w:sz w:val="20"/>
                <w:szCs w:val="20"/>
              </w:rPr>
              <w:t>12</w:t>
            </w:r>
          </w:p>
        </w:tc>
        <w:tc>
          <w:tcPr>
            <w:tcW w:w="4104" w:type="dxa"/>
            <w:shd w:fill="F4F0F7"/>
          </w:tcPr>
          <w:p w14:paraId="108FF148" w14:textId="77777777" w:rsidR="00E15B76" w:rsidRPr="00E15B76" w:rsidRDefault="00E15B76" w:rsidP="00FD207C">
            <w:pPr>
              <w:spacing w:after="0" w:line="240" w:lineRule="auto"/>
              <w:rPr>
                <w:rFonts w:ascii="Aptos Display" w:hAnsi="Aptos Display"/>
                <w:sz w:val="20"/>
                <w:szCs w:val="20"/>
              </w:rPr>
            </w:pPr>
            <w:r w:rsidRPr="00E15B76">
              <w:rPr>
                <w:rFonts w:ascii="Aptos" w:hAnsi="Aptos" w:eastAsia="Aptos" w:cs="Aptos"/>
                <w:sz w:val="20"/>
                <w:szCs w:val="20"/>
              </w:rPr>
              <w:t>HAV awareness included in induction; annual refresher toolbox talk; explanation of EAV and ELV; instruction on trigger time limits; briefing on symptom recognition; records of training retained; culture of early reporting promoted.</w:t>
            </w:r>
          </w:p>
        </w:tc>
        <w:tc>
          <w:tcPr>
            <w:tcW w:w="720" w:type="dxa"/>
            <w:shd w:val="clear" w:color="auto" w:fill="F4F0F7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720"/>
            <w:vAlign w:val="center"/>
            <w:shd w:fill="F4F0F7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936"/>
            <w:vAlign w:val="center"/>
            <w:shd w:fill="92D050"/>
          </w:tcPr>
          <w:p>
            <w:pPr>
              <w:spacing w:after="0" w:line="240" w:lineRule="auto"/>
              <w:jc w:val="center"/>
            </w:pPr>
            <w:r>
              <w:rPr>
                <w:rFonts w:ascii="Aptos" w:hAnsi="Aptos" w:eastAsia="Aptos" w:cs="Aptos"/>
                <w:sz w:val="20"/>
              </w:rPr>
            </w:r>
            <w:r>
              <w:rPr>
                <w:rFonts w:ascii="Aptos" w:hAnsi="Aptos" w:eastAsia="Aptos" w:cs="Aptos"/>
                <w:b/>
                <w:color w:val="000000"/>
                <w:sz w:val="20"/>
              </w:rPr>
              <w:t>4</w:t>
            </w:r>
          </w:p>
        </w:tc>
      </w:tr>
    </w:tbl>
    <w:p w14:paraId="55325CA0" w14:textId="77777777" w:rsidR="00F77871" w:rsidRPr="00E15B76" w:rsidRDefault="00000000">
      <w:pPr>
        <w:pStyle w:val="Heading2"/>
        <w:rPr>
          <w:rFonts w:ascii="Aptos Display" w:hAnsi="Aptos Display"/>
          <w:color w:val="auto"/>
          <w:sz w:val="20"/>
          <w:szCs w:val="20"/>
        </w:rPr>
      </w:pPr>
      <w:r w:rsidRPr="00E15B76">
        <w:rPr>
          <w:rFonts w:ascii="Aptos" w:hAnsi="Aptos" w:eastAsia="Aptos" w:cs="Aptos"/>
          <w:color w:val="auto"/>
          <w:sz w:val="20"/>
          <w:szCs w:val="20"/>
        </w:rPr>
        <w:t>10. Review &amp; Monitoring</w:t>
      </w:r>
    </w:p>
    <w:p w14:paraId="08184E94" w14:textId="77777777" w:rsidR="00F77871" w:rsidRPr="00E15B76" w:rsidRDefault="00000000">
      <w:pPr>
        <w:rPr>
          <w:rFonts w:ascii="Aptos Display" w:hAnsi="Aptos Display"/>
          <w:sz w:val="20"/>
          <w:szCs w:val="20"/>
        </w:rPr>
      </w:pPr>
      <w:r w:rsidRPr="00E15B76">
        <w:rPr>
          <w:rFonts w:ascii="Aptos" w:hAnsi="Aptos" w:eastAsia="Aptos" w:cs="Aptos"/>
          <w:sz w:val="20"/>
          <w:szCs w:val="20"/>
        </w:rPr>
        <w:t>This GRA must be reviewed annually, following any change in equipment, work patterns, introduction of new machinery, health surveillance findings or legislative update.</w:t>
      </w:r>
    </w:p>
    <w:sectPr w:rsidR="00F77871" w:rsidRPr="00E15B76" w:rsidSect="00E15B76">
      <w:headerReference w:type="default" r:id="rId8"/>
      <w:footerReference w:type="default" r:id="rId9"/>
      <w:pgSz w:w="15840" w:h="1222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FA66BB" w14:textId="77777777" w:rsidR="00BB1279" w:rsidRDefault="00BB1279" w:rsidP="00E15B76">
      <w:pPr>
        <w:spacing w:after="0" w:line="240" w:lineRule="auto"/>
      </w:pPr>
      <w:r>
        <w:separator/>
      </w:r>
    </w:p>
  </w:endnote>
  <w:endnote w:type="continuationSeparator" w:id="0">
    <w:p w14:paraId="04FF5456" w14:textId="77777777" w:rsidR="00BB1279" w:rsidRDefault="00BB1279" w:rsidP="00E1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9F6EDA" w14:textId="77777777" w:rsidR="00E15B76" w:rsidRPr="00E15B76" w:rsidRDefault="00E15B76" w:rsidP="00E15B76">
    <w:pPr>
      <w:spacing w:after="0"/>
      <w:rPr>
        <w:rFonts w:ascii="Aptos Display" w:hAnsi="Aptos Display"/>
        <w:color w:val="FF0000"/>
        <w:sz w:val="16"/>
        <w:szCs w:val="16"/>
      </w:rPr>
    </w:pPr>
    <w:r w:rsidRPr="00E15B76">
      <w:rPr>
        <w:rFonts w:ascii="Aptos" w:hAnsi="Aptos" w:eastAsia="Aptos" w:cs="Aptos"/>
        <w:color w:val="FF0000"/>
        <w:sz w:val="20"/>
        <w:szCs w:val="20"/>
      </w:rPr>
      <w:br/>
    </w:r>
    <w:r w:rsidRPr="00E15B76">
      <w:rPr>
        <w:rFonts w:ascii="Aptos" w:hAnsi="Aptos" w:eastAsia="Aptos" w:cs="Aptos"/>
        <w:color w:val="FF0000"/>
        <w:sz w:val="20"/>
        <w:szCs w:val="16"/>
      </w:rPr>
      <w:t>[COMPANY NAME] – GRA Hand-Arm Vibration - ARB-GRA-21</w:t>
    </w:r>
  </w:p>
  <w:p w14:paraId="6C6C86CC" w14:textId="77777777" w:rsidR="00E15B76" w:rsidRPr="00E15B76" w:rsidRDefault="00E15B76" w:rsidP="00E15B76">
    <w:pPr>
      <w:spacing w:after="0"/>
      <w:rPr>
        <w:rFonts w:ascii="Aptos Display" w:hAnsi="Aptos Display"/>
        <w:color w:val="FF0000"/>
        <w:sz w:val="16"/>
        <w:szCs w:val="16"/>
      </w:rPr>
    </w:pPr>
    <w:r w:rsidRPr="00E15B76">
      <w:rPr>
        <w:rFonts w:ascii="Aptos" w:hAnsi="Aptos" w:eastAsia="Aptos" w:cs="Aptos"/>
        <w:color w:val="FF0000"/>
        <w:sz w:val="20"/>
        <w:szCs w:val="16"/>
      </w:rPr>
      <w:t>Version: [</w:t>
    </w:r>
    <w:proofErr w:type="gramStart"/>
    <w:r w:rsidRPr="00E15B76">
      <w:rPr>
        <w:rFonts w:ascii="Aptos" w:hAnsi="Aptos" w:eastAsia="Aptos" w:cs="Aptos"/>
        <w:color w:val="FF0000"/>
        <w:sz w:val="20"/>
        <w:szCs w:val="16"/>
      </w:rPr>
      <w:t xml:space="preserve">VERSION]   </w:t>
    </w:r>
    <w:proofErr w:type="gramEnd"/>
    <w:r w:rsidRPr="00E15B76">
      <w:rPr>
        <w:rFonts w:ascii="Aptos" w:hAnsi="Aptos" w:eastAsia="Aptos" w:cs="Aptos"/>
        <w:color w:val="FF0000"/>
        <w:sz w:val="20"/>
        <w:szCs w:val="16"/>
      </w:rPr>
      <w:t>Date Issued: [DATE]   Review Date: [REVIEW DATE]</w:t>
    </w:r>
  </w:p>
  <w:p w14:paraId="06E8F311" w14:textId="27BCBCDA" w:rsidR="00E15B76" w:rsidRPr="00E15B76" w:rsidRDefault="00E15B76" w:rsidP="00E15B76">
    <w:pPr>
      <w:spacing w:after="0"/>
      <w:rPr>
        <w:rFonts w:ascii="Aptos Display" w:hAnsi="Aptos Display"/>
        <w:color w:val="FF0000"/>
        <w:sz w:val="16"/>
        <w:szCs w:val="16"/>
      </w:rPr>
    </w:pPr>
    <w:r w:rsidRPr="00E15B76">
      <w:rPr>
        <w:rFonts w:ascii="Aptos" w:hAnsi="Aptos" w:eastAsia="Aptos" w:cs="Aptos"/>
        <w:color w:val="FF0000"/>
        <w:sz w:val="20"/>
        <w:szCs w:val="16"/>
      </w:rPr>
      <w:t>Not controlled when printed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2143B1" w14:textId="77777777" w:rsidR="00BB1279" w:rsidRDefault="00BB1279" w:rsidP="00E15B76">
      <w:pPr>
        <w:spacing w:after="0" w:line="240" w:lineRule="auto"/>
      </w:pPr>
      <w:r>
        <w:separator/>
      </w:r>
    </w:p>
  </w:footnote>
  <w:footnote w:type="continuationSeparator" w:id="0">
    <w:p w14:paraId="7F1102BA" w14:textId="77777777" w:rsidR="00BB1279" w:rsidRDefault="00BB1279" w:rsidP="00E15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D05319" w14:textId="1CB6F4CE" w:rsidR="00E15B76" w:rsidRPr="00E15B76" w:rsidRDefault="00E15B76" w:rsidP="00E15B76">
    <w:pPr>
      <w:rPr>
        <w:rFonts w:ascii="Aptos Display" w:hAnsi="Aptos Display"/>
        <w:color w:val="FF0000"/>
        <w:sz w:val="20"/>
        <w:szCs w:val="20"/>
      </w:rPr>
    </w:pPr>
    <w:r w:rsidRPr="00E15B76">
      <w:rPr>
        <w:rFonts w:ascii="Aptos" w:hAnsi="Aptos" w:eastAsia="Aptos" w:cs="Aptos"/>
        <w:color w:val="FF0000"/>
        <w:sz w:val="20"/>
        <w:szCs w:val="20"/>
      </w:rPr>
      <w:t>LOGO [Insert Company Logo Here]</w:t>
    </w:r>
    <w:r w:rsidRPr="00E15B76">
      <w:rPr>
        <w:rFonts w:ascii="Aptos" w:hAnsi="Aptos" w:eastAsia="Aptos" w:cs="Aptos"/>
        <w:color w:val="FF0000"/>
        <w:sz w:val="20"/>
        <w:szCs w:val="20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3903708">
    <w:abstractNumId w:val="8"/>
  </w:num>
  <w:num w:numId="2" w16cid:durableId="691567265">
    <w:abstractNumId w:val="6"/>
  </w:num>
  <w:num w:numId="3" w16cid:durableId="271330256">
    <w:abstractNumId w:val="5"/>
  </w:num>
  <w:num w:numId="4" w16cid:durableId="88622256">
    <w:abstractNumId w:val="4"/>
  </w:num>
  <w:num w:numId="5" w16cid:durableId="1721250686">
    <w:abstractNumId w:val="7"/>
  </w:num>
  <w:num w:numId="6" w16cid:durableId="1952855934">
    <w:abstractNumId w:val="3"/>
  </w:num>
  <w:num w:numId="7" w16cid:durableId="508910771">
    <w:abstractNumId w:val="2"/>
  </w:num>
  <w:num w:numId="8" w16cid:durableId="1598639804">
    <w:abstractNumId w:val="1"/>
  </w:num>
  <w:num w:numId="9" w16cid:durableId="155851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2D28"/>
    <w:rsid w:val="0066759D"/>
    <w:rsid w:val="00AA1D8D"/>
    <w:rsid w:val="00B47730"/>
    <w:rsid w:val="00BB1279"/>
    <w:rsid w:val="00CB0664"/>
    <w:rsid w:val="00E15B76"/>
    <w:rsid w:val="00F778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4B557C"/>
  <w14:defaultImageDpi w14:val="300"/>
  <w15:docId w15:val="{1D0BDA1C-B63A-CD4D-973E-B4AA2A9C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ptos" w:hAnsi="Aptos"/>
      <w:b/>
      <w:bCs/>
      <w:i/>
      <w:iCs/>
      <w:color w:val="4F81BD" w:themeColor="accent1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ptos" w:hAnsi="Aptos"/>
      <w:color w:val="243F60" w:themeColor="accent1" w:themeShade="7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ptos" w:hAnsi="Aptos"/>
      <w:i/>
      <w:iCs/>
      <w:color w:val="243F60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ptos" w:hAnsi="Aptos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ptos" w:hAnsi="Apto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ptos" w:hAnsi="Apto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ptos" w:hAnsi="Aptos"/>
      <w:sz w:val="20"/>
    </w:rPr>
  </w:style>
  <w:style w:type="table" w:default="1" w:styleId="TableNormal">
    <w:name w:val="Normal Table"/>
    <w:uiPriority w:val="99"/>
    <w:semiHidden/>
    <w:unhideWhenUsed/>
    <w:rPr>
      <w:rFonts w:ascii="Aptos" w:hAnsi="Aptos"/>
      <w:sz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ptos" w:hAnsi="Aptos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ptos" w:hAnsi="Aptos"/>
      <w:sz w:val="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ptos" w:hAnsi="Aptos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ptos" w:hAnsi="Aptos"/>
      <w:sz w:val="20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ptos" w:hAnsi="Aptos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ptos" w:hAnsi="Aptos"/>
      <w:b/>
      <w:bCs/>
      <w:color w:val="4F81BD" w:themeColor="accent1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ptos" w:hAnsi="Aptos"/>
      <w:b/>
      <w:bCs/>
      <w:color w:val="4F81BD" w:themeColor="accent1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2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4F81BD" w:themeColor="accent1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ptos" w:hAnsi="Aptos"/>
      <w:i/>
      <w:iCs/>
      <w:color w:val="4F81BD" w:themeColor="accent1"/>
      <w:spacing w:val="15"/>
      <w:sz w:val="2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ptos" w:hAnsi="Aptos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ptos" w:hAnsi="Aptos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ptos" w:hAnsi="Aptos"/>
      <w:sz w:val="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ptos" w:hAnsi="Aptos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ptos" w:hAnsi="Aptos"/>
      <w:sz w:val="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ptos" w:hAnsi="Aptos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ptos" w:hAnsi="Aptos"/>
      <w:sz w:val="20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ptos" w:hAnsi="Aptos"/>
      <w:sz w:val="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ptos" w:hAnsi="Aptos"/>
      <w:sz w:val="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ptos" w:hAnsi="Aptos"/>
      <w:sz w:val="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ptos" w:hAnsi="Aptos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ptos" w:hAnsi="Aptos"/>
      <w:sz w:val="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ptos" w:hAnsi="Aptos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ptos" w:hAnsi="Aptos"/>
      <w:sz w:val="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ptos" w:hAnsi="Aptos"/>
      <w:sz w:val="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ptos" w:hAnsi="Aptos"/>
      <w:sz w:val="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ptos" w:hAnsi="Aptos"/>
      <w:sz w:val="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ptos" w:hAnsi="Aptos"/>
      <w:sz w:val="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ptos" w:hAnsi="Apto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ptos" w:hAnsi="Apto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ptos" w:hAnsi="Aptos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ptos" w:hAnsi="Aptos"/>
      <w:i/>
      <w:iCs/>
      <w:color w:val="000000" w:themeColor="text1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ptos" w:hAnsi="Aptos"/>
      <w:b/>
      <w:bCs/>
      <w:i/>
      <w:iCs/>
      <w:color w:val="4F81BD" w:themeColor="accen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ptos" w:hAnsi="Aptos"/>
      <w:color w:val="243F6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ptos" w:hAnsi="Aptos"/>
      <w:i/>
      <w:iCs/>
      <w:color w:val="243F6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ptos" w:hAnsi="Aptos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ptos" w:hAnsi="Apto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ptos" w:hAnsi="Apto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ptos" w:hAnsi="Aptos"/>
      <w:b/>
      <w:bCs/>
      <w:color w:val="4F81BD" w:themeColor="accent1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ptos" w:hAnsi="Aptos"/>
      <w:b/>
      <w:bCs/>
      <w:sz w:val="20"/>
    </w:rPr>
  </w:style>
  <w:style w:type="character" w:styleId="Emphasis">
    <w:name w:val="Emphasis"/>
    <w:basedOn w:val="DefaultParagraphFont"/>
    <w:uiPriority w:val="20"/>
    <w:qFormat/>
    <w:rsid w:val="00FC693F"/>
    <w:rPr>
      <w:rFonts w:ascii="Aptos" w:hAnsi="Aptos"/>
      <w:i/>
      <w:iCs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ptos" w:hAnsi="Aptos"/>
      <w:b/>
      <w:bCs/>
      <w:i/>
      <w:iCs/>
      <w:color w:val="4F81BD" w:themeColor="accen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ptos" w:hAnsi="Aptos"/>
      <w:b/>
      <w:bCs/>
      <w:i/>
      <w:iCs/>
      <w:color w:val="4F81BD" w:themeColor="accent1"/>
      <w:sz w:val="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ptos" w:hAnsi="Aptos"/>
      <w:i/>
      <w:iCs/>
      <w:color w:val="808080" w:themeColor="text1" w:themeTint="7F"/>
      <w:sz w:val="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ptos" w:hAnsi="Aptos"/>
      <w:b/>
      <w:bCs/>
      <w:i/>
      <w:iCs/>
      <w:color w:val="4F81BD" w:themeColor="accent1"/>
      <w:sz w:val="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ptos" w:hAnsi="Aptos"/>
      <w:smallCaps/>
      <w:color w:val="C0504D" w:themeColor="accent2"/>
      <w:sz w:val="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ptos" w:hAnsi="Aptos"/>
      <w:b/>
      <w:bCs/>
      <w:smallCaps/>
      <w:color w:val="C0504D" w:themeColor="accent2"/>
      <w:spacing w:val="5"/>
      <w:sz w:val="20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ptos" w:hAnsi="Aptos"/>
      <w:b/>
      <w:bCs/>
      <w:smallCaps/>
      <w:spacing w:val="5"/>
      <w:sz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ptos" w:hAnsi="Aptos"/>
      <w:sz w:val="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ptos" w:hAnsi="Aptos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ptos" w:hAnsi="Aptos"/>
      <w:color w:val="000000" w:themeColor="text1" w:themeShade="BF"/>
      <w:sz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ptos" w:hAnsi="Aptos"/>
      <w:color w:val="365F91" w:themeColor="accent1" w:themeShade="BF"/>
      <w:sz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ptos" w:hAnsi="Aptos"/>
      <w:color w:val="943634" w:themeColor="accent2" w:themeShade="BF"/>
      <w:sz w:val="2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ptos" w:hAnsi="Aptos"/>
      <w:color w:val="76923C" w:themeColor="accent3" w:themeShade="BF"/>
      <w:sz w:val="2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ptos" w:hAnsi="Aptos"/>
      <w:color w:val="5F497A" w:themeColor="accent4" w:themeShade="BF"/>
      <w:sz w:val="2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ptos" w:hAnsi="Aptos"/>
      <w:color w:val="31849B" w:themeColor="accent5" w:themeShade="BF"/>
      <w:sz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ptos" w:hAnsi="Aptos"/>
      <w:color w:val="E36C0A" w:themeColor="accent6" w:themeShade="BF"/>
      <w:sz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ptos" w:hAnsi="Aptos"/>
      <w:color w:val="000000" w:themeColor="text1"/>
      <w:sz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ptos" w:hAnsi="Aptos"/>
      <w:sz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ptos" w:hAnsi="Aptos"/>
      <w:color w:val="FFFFFF" w:themeColor="background1"/>
      <w:sz w:val="2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ptos" w:hAnsi="Aptos"/>
      <w:color w:val="FFFFFF" w:themeColor="background1"/>
      <w:sz w:val="2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ptos" w:hAnsi="Aptos"/>
      <w:color w:val="FFFFFF" w:themeColor="background1"/>
      <w:sz w:val="2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ptos" w:hAnsi="Aptos"/>
      <w:color w:val="FFFFFF" w:themeColor="background1"/>
      <w:sz w:val="2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ptos" w:hAnsi="Aptos"/>
      <w:color w:val="FFFFFF" w:themeColor="background1"/>
      <w:sz w:val="2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ptos" w:hAnsi="Aptos"/>
      <w:color w:val="FFFFFF" w:themeColor="background1"/>
      <w:sz w:val="2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ptos" w:hAnsi="Aptos"/>
      <w:color w:val="FFFFFF" w:themeColor="background1"/>
      <w:sz w:val="2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rFonts w:ascii="Aptos" w:hAnsi="Aptos"/>
      <w:color w:val="000000" w:themeColor="text1"/>
      <w:sz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1066</Words>
  <Characters>6079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Arborella Consultancy Ltd</cp:lastModifiedBy>
  <cp:revision>2</cp:revision>
  <dcterms:created xsi:type="dcterms:W3CDTF">2026-02-14T16:15:00Z</dcterms:created>
  <dcterms:modified xsi:type="dcterms:W3CDTF">2026-02-14T16:15:00Z</dcterms:modified>
  <cp:category/>
</cp:coreProperties>
</file>