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2D2D3A" w14:textId="0FB868A1" w:rsidR="00F52823" w:rsidRPr="00F51278" w:rsidRDefault="006418F8" w:rsidP="00F51278">
      <w:pPr>
        <w:jc w:val="center"/>
        <w:rPr>
          <w:rFonts w:ascii="Aptos" w:hAnsi="Aptos" w:cs="Arial"/>
          <w:b/>
          <w:bCs/>
          <w:color w:val="FF0000"/>
          <w:sz w:val="20"/>
          <w:szCs w:val="20"/>
          <w:u w:val="single"/>
        </w:rPr>
      </w:pPr>
      <w:r w:rsidRPr="00F51278">
        <w:rPr>
          <w:rFonts w:ascii="Aptos" w:hAnsi="Aptos" w:cs="Arial"/>
          <w:b/>
          <w:bCs/>
          <w:color w:val="FF0000"/>
          <w:sz w:val="20"/>
          <w:szCs w:val="20"/>
          <w:u w:val="single"/>
        </w:rPr>
        <w:t>Company</w:t>
      </w:r>
      <w:r w:rsidR="00944550" w:rsidRPr="00F51278">
        <w:rPr>
          <w:rFonts w:ascii="Aptos" w:hAnsi="Aptos" w:cs="Arial"/>
          <w:b/>
          <w:bCs/>
          <w:color w:val="FF0000"/>
          <w:sz w:val="20"/>
          <w:szCs w:val="20"/>
          <w:u w:val="single"/>
        </w:rPr>
        <w:t xml:space="preserve"> Ltd</w:t>
      </w:r>
    </w:p>
    <w:p w14:paraId="3A2CBFF2" w14:textId="77777777" w:rsidR="008D155C" w:rsidRPr="00F51278" w:rsidRDefault="008D155C" w:rsidP="008D155C">
      <w:pPr>
        <w:jc w:val="center"/>
        <w:rPr>
          <w:rFonts w:ascii="Aptos" w:hAnsi="Aptos" w:cs="Arial"/>
          <w:bCs/>
          <w:sz w:val="20"/>
          <w:szCs w:val="20"/>
          <w:u w:val="single"/>
        </w:rPr>
      </w:pPr>
      <w:r w:rsidRPr="00F51278">
        <w:rPr>
          <w:rFonts w:ascii="Aptos" w:hAnsi="Aptos" w:cs="Arial"/>
          <w:bCs/>
          <w:sz w:val="20"/>
          <w:szCs w:val="20"/>
          <w:u w:val="single"/>
        </w:rPr>
        <w:t>Legal and Other Requirements Procedure</w:t>
      </w:r>
    </w:p>
    <w:p w14:paraId="61CC7164" w14:textId="77777777" w:rsidR="008D155C" w:rsidRPr="00F51278" w:rsidRDefault="008D155C" w:rsidP="008D155C">
      <w:pPr>
        <w:jc w:val="center"/>
        <w:rPr>
          <w:rFonts w:ascii="Aptos" w:hAnsi="Aptos" w:cs="Arial"/>
          <w:b/>
          <w:bCs/>
          <w:sz w:val="20"/>
          <w:szCs w:val="20"/>
        </w:rPr>
      </w:pPr>
    </w:p>
    <w:p w14:paraId="7B26F84B" w14:textId="77777777" w:rsidR="008D155C" w:rsidRPr="00F51278" w:rsidRDefault="008D155C" w:rsidP="008D155C">
      <w:pPr>
        <w:rPr>
          <w:rFonts w:ascii="Aptos" w:hAnsi="Aptos" w:cs="Arial"/>
          <w:b/>
          <w:bCs/>
          <w:sz w:val="20"/>
          <w:szCs w:val="20"/>
        </w:rPr>
      </w:pPr>
      <w:r w:rsidRPr="00F51278">
        <w:rPr>
          <w:rFonts w:ascii="Aptos" w:hAnsi="Aptos" w:cs="Arial"/>
          <w:b/>
          <w:bCs/>
          <w:sz w:val="20"/>
          <w:szCs w:val="20"/>
        </w:rPr>
        <w:t>Scope:</w:t>
      </w:r>
    </w:p>
    <w:p w14:paraId="211055D3" w14:textId="77777777" w:rsidR="008D155C" w:rsidRPr="00F51278" w:rsidRDefault="008D155C" w:rsidP="008D155C">
      <w:pPr>
        <w:rPr>
          <w:rFonts w:ascii="Aptos" w:hAnsi="Aptos" w:cs="Arial"/>
          <w:sz w:val="20"/>
          <w:szCs w:val="20"/>
        </w:rPr>
      </w:pPr>
    </w:p>
    <w:p w14:paraId="0AB94DCE" w14:textId="77777777" w:rsidR="008D155C" w:rsidRPr="00F51278" w:rsidRDefault="008D155C" w:rsidP="008D155C">
      <w:pPr>
        <w:rPr>
          <w:rFonts w:ascii="Aptos" w:hAnsi="Aptos" w:cs="Arial"/>
          <w:sz w:val="20"/>
          <w:szCs w:val="20"/>
        </w:rPr>
      </w:pPr>
      <w:r w:rsidRPr="00F51278">
        <w:rPr>
          <w:rFonts w:ascii="Aptos" w:hAnsi="Aptos" w:cs="Arial"/>
          <w:sz w:val="20"/>
          <w:szCs w:val="20"/>
        </w:rPr>
        <w:t>This procedure describes the process of:</w:t>
      </w:r>
    </w:p>
    <w:p w14:paraId="01EA9CA0" w14:textId="77777777" w:rsidR="008D155C" w:rsidRPr="00F51278" w:rsidRDefault="008D155C" w:rsidP="008D155C">
      <w:pPr>
        <w:rPr>
          <w:rFonts w:ascii="Aptos" w:hAnsi="Aptos" w:cs="Arial"/>
          <w:sz w:val="20"/>
          <w:szCs w:val="20"/>
        </w:rPr>
      </w:pPr>
    </w:p>
    <w:p w14:paraId="20874FDD" w14:textId="77777777" w:rsidR="008D155C" w:rsidRPr="00F51278" w:rsidRDefault="008D155C" w:rsidP="008D155C">
      <w:pPr>
        <w:numPr>
          <w:ilvl w:val="0"/>
          <w:numId w:val="2"/>
        </w:numPr>
        <w:rPr>
          <w:rFonts w:ascii="Aptos" w:hAnsi="Aptos" w:cs="Arial"/>
          <w:sz w:val="20"/>
          <w:szCs w:val="20"/>
        </w:rPr>
      </w:pPr>
      <w:r w:rsidRPr="00F51278">
        <w:rPr>
          <w:rFonts w:ascii="Aptos" w:hAnsi="Aptos" w:cs="Arial"/>
          <w:sz w:val="20"/>
          <w:szCs w:val="20"/>
        </w:rPr>
        <w:t>Identifying all applicable legal and other requirements relating to OH&amp;S hazards and environmental aspects and impacts.</w:t>
      </w:r>
    </w:p>
    <w:p w14:paraId="020F8B70" w14:textId="77777777" w:rsidR="008D155C" w:rsidRPr="00F51278" w:rsidRDefault="008D155C" w:rsidP="008D155C">
      <w:pPr>
        <w:numPr>
          <w:ilvl w:val="0"/>
          <w:numId w:val="2"/>
        </w:numPr>
        <w:rPr>
          <w:rFonts w:ascii="Aptos" w:hAnsi="Aptos" w:cs="Arial"/>
          <w:sz w:val="20"/>
          <w:szCs w:val="20"/>
        </w:rPr>
      </w:pPr>
      <w:r w:rsidRPr="00F51278">
        <w:rPr>
          <w:rFonts w:ascii="Aptos" w:hAnsi="Aptos" w:cs="Arial"/>
          <w:sz w:val="20"/>
          <w:szCs w:val="20"/>
        </w:rPr>
        <w:t>Gaining access to all legal and other requirements.</w:t>
      </w:r>
    </w:p>
    <w:p w14:paraId="2964EA02" w14:textId="77777777" w:rsidR="008D155C" w:rsidRPr="00F51278" w:rsidRDefault="008D155C" w:rsidP="008D155C">
      <w:pPr>
        <w:numPr>
          <w:ilvl w:val="0"/>
          <w:numId w:val="2"/>
        </w:numPr>
        <w:rPr>
          <w:rFonts w:ascii="Aptos" w:hAnsi="Aptos" w:cs="Arial"/>
          <w:sz w:val="20"/>
          <w:szCs w:val="20"/>
        </w:rPr>
      </w:pPr>
      <w:r w:rsidRPr="00F51278">
        <w:rPr>
          <w:rFonts w:ascii="Aptos" w:hAnsi="Aptos" w:cs="Arial"/>
          <w:sz w:val="20"/>
          <w:szCs w:val="20"/>
        </w:rPr>
        <w:t>Determining how the legal and other requirements apply to the undertakings of the organisation.</w:t>
      </w:r>
    </w:p>
    <w:p w14:paraId="1F72098D" w14:textId="77777777" w:rsidR="008D155C" w:rsidRPr="00F51278" w:rsidRDefault="008D155C" w:rsidP="008D155C">
      <w:pPr>
        <w:rPr>
          <w:rFonts w:ascii="Aptos" w:hAnsi="Aptos" w:cs="Arial"/>
          <w:b/>
          <w:bCs/>
          <w:sz w:val="20"/>
          <w:szCs w:val="20"/>
        </w:rPr>
      </w:pPr>
    </w:p>
    <w:p w14:paraId="74E520E3" w14:textId="77777777" w:rsidR="008D155C" w:rsidRPr="00F51278" w:rsidRDefault="008D155C" w:rsidP="008D155C">
      <w:pPr>
        <w:rPr>
          <w:rFonts w:ascii="Aptos" w:hAnsi="Aptos" w:cs="Arial"/>
          <w:b/>
          <w:bCs/>
          <w:sz w:val="20"/>
          <w:szCs w:val="20"/>
        </w:rPr>
      </w:pPr>
      <w:r w:rsidRPr="00F51278">
        <w:rPr>
          <w:rFonts w:ascii="Aptos" w:hAnsi="Aptos" w:cs="Arial"/>
          <w:b/>
          <w:bCs/>
          <w:sz w:val="20"/>
          <w:szCs w:val="20"/>
        </w:rPr>
        <w:t>Objectives:</w:t>
      </w:r>
    </w:p>
    <w:p w14:paraId="152BAD49" w14:textId="77777777" w:rsidR="008D155C" w:rsidRPr="00F51278" w:rsidRDefault="008D155C" w:rsidP="008D155C">
      <w:pPr>
        <w:rPr>
          <w:rFonts w:ascii="Aptos" w:hAnsi="Aptos" w:cs="Arial"/>
          <w:b/>
          <w:bCs/>
          <w:sz w:val="20"/>
          <w:szCs w:val="20"/>
        </w:rPr>
      </w:pPr>
    </w:p>
    <w:p w14:paraId="47A396EC" w14:textId="77777777" w:rsidR="008D155C" w:rsidRPr="00F51278" w:rsidRDefault="008D155C" w:rsidP="008D155C">
      <w:pPr>
        <w:numPr>
          <w:ilvl w:val="0"/>
          <w:numId w:val="1"/>
        </w:numPr>
        <w:rPr>
          <w:rFonts w:ascii="Aptos" w:hAnsi="Aptos" w:cs="Arial"/>
          <w:sz w:val="20"/>
          <w:szCs w:val="20"/>
        </w:rPr>
      </w:pPr>
      <w:r w:rsidRPr="00F51278">
        <w:rPr>
          <w:rFonts w:ascii="Aptos" w:hAnsi="Aptos" w:cs="Arial"/>
          <w:sz w:val="20"/>
          <w:szCs w:val="20"/>
        </w:rPr>
        <w:t>To ensure that all sources of compliance are identified.</w:t>
      </w:r>
    </w:p>
    <w:p w14:paraId="69E1A78F" w14:textId="77777777" w:rsidR="008D155C" w:rsidRPr="00F51278" w:rsidRDefault="008D155C" w:rsidP="008D155C">
      <w:pPr>
        <w:numPr>
          <w:ilvl w:val="0"/>
          <w:numId w:val="1"/>
        </w:numPr>
        <w:rPr>
          <w:rFonts w:ascii="Aptos" w:hAnsi="Aptos" w:cs="Arial"/>
          <w:sz w:val="20"/>
          <w:szCs w:val="20"/>
        </w:rPr>
      </w:pPr>
      <w:r w:rsidRPr="00F51278">
        <w:rPr>
          <w:rFonts w:ascii="Aptos" w:hAnsi="Aptos" w:cs="Arial"/>
          <w:sz w:val="20"/>
          <w:szCs w:val="20"/>
        </w:rPr>
        <w:t>To ensure that the company has access to all sources of compliance.</w:t>
      </w:r>
    </w:p>
    <w:p w14:paraId="10E61243" w14:textId="77777777" w:rsidR="008D155C" w:rsidRPr="00F51278" w:rsidRDefault="008D155C" w:rsidP="008D155C">
      <w:pPr>
        <w:numPr>
          <w:ilvl w:val="0"/>
          <w:numId w:val="1"/>
        </w:numPr>
        <w:rPr>
          <w:rFonts w:ascii="Aptos" w:hAnsi="Aptos" w:cs="Arial"/>
          <w:sz w:val="20"/>
          <w:szCs w:val="20"/>
        </w:rPr>
      </w:pPr>
      <w:r w:rsidRPr="00F51278">
        <w:rPr>
          <w:rFonts w:ascii="Aptos" w:hAnsi="Aptos" w:cs="Arial"/>
          <w:sz w:val="20"/>
          <w:szCs w:val="20"/>
        </w:rPr>
        <w:t>To ensure that all legal requirements receive consideration and that control measures are put in place.</w:t>
      </w:r>
    </w:p>
    <w:p w14:paraId="65574ABC" w14:textId="77777777" w:rsidR="00D41272" w:rsidRPr="00F51278" w:rsidRDefault="00D41272" w:rsidP="008D155C">
      <w:pPr>
        <w:numPr>
          <w:ilvl w:val="0"/>
          <w:numId w:val="1"/>
        </w:numPr>
        <w:rPr>
          <w:rFonts w:ascii="Aptos" w:hAnsi="Aptos" w:cs="Arial"/>
          <w:sz w:val="20"/>
          <w:szCs w:val="20"/>
        </w:rPr>
      </w:pPr>
      <w:r w:rsidRPr="00F51278">
        <w:rPr>
          <w:rFonts w:ascii="Aptos" w:hAnsi="Aptos"/>
          <w:sz w:val="20"/>
          <w:szCs w:val="20"/>
        </w:rPr>
        <w:t>Where a product is subject to a legal conformity marking requirement (for example PPE, machinery or other regulated equipment), it carries the appropriate current marking – CE marking is currently accepted indefinitely in Great Britain for most such products, alongside the UKCA mark, which remains available but voluntary (see the PPE Issue, Replacement and Inspection Procedure for current detail).</w:t>
      </w:r>
    </w:p>
    <w:p w14:paraId="60DB098D" w14:textId="77777777" w:rsidR="008D155C" w:rsidRPr="00F51278" w:rsidRDefault="008D155C" w:rsidP="008D155C">
      <w:pPr>
        <w:rPr>
          <w:rFonts w:ascii="Aptos" w:hAnsi="Aptos" w:cs="Arial"/>
          <w:sz w:val="20"/>
          <w:szCs w:val="20"/>
        </w:rPr>
      </w:pPr>
    </w:p>
    <w:p w14:paraId="4E0A5EB5" w14:textId="77777777" w:rsidR="00DB1778" w:rsidRPr="00F51278" w:rsidRDefault="00000000">
      <w:pPr>
        <w:rPr>
          <w:rFonts w:ascii="Aptos" w:hAnsi="Aptos"/>
          <w:sz w:val="20"/>
          <w:szCs w:val="20"/>
        </w:rPr>
      </w:pPr>
      <w:r w:rsidRPr="00F51278">
        <w:rPr>
          <w:rFonts w:ascii="Aptos" w:hAnsi="Aptos"/>
          <w:b/>
          <w:sz w:val="20"/>
          <w:szCs w:val="20"/>
        </w:rPr>
        <w:t>Legislative &amp; Best Practice Framework:</w:t>
      </w:r>
    </w:p>
    <w:p w14:paraId="7EE02296" w14:textId="77777777" w:rsidR="00DB1778" w:rsidRPr="00F51278" w:rsidRDefault="00DB1778">
      <w:pPr>
        <w:rPr>
          <w:rFonts w:ascii="Aptos" w:hAnsi="Aptos"/>
          <w:sz w:val="20"/>
          <w:szCs w:val="20"/>
        </w:rPr>
      </w:pPr>
    </w:p>
    <w:p w14:paraId="779BD6B7" w14:textId="77777777" w:rsidR="00DB1778" w:rsidRPr="00F51278" w:rsidRDefault="00000000">
      <w:pPr>
        <w:rPr>
          <w:rFonts w:ascii="Aptos" w:hAnsi="Aptos"/>
          <w:sz w:val="20"/>
          <w:szCs w:val="20"/>
        </w:rPr>
      </w:pPr>
      <w:r w:rsidRPr="00F51278">
        <w:rPr>
          <w:rFonts w:ascii="Aptos" w:hAnsi="Aptos"/>
          <w:sz w:val="20"/>
          <w:szCs w:val="20"/>
        </w:rPr>
        <w:t>This procedure has regard to the following legislation and standards. This list reflects the law and standards known to be current at the time this procedure was last reviewed and is not exhaustive:</w:t>
      </w:r>
    </w:p>
    <w:p w14:paraId="30891ED8" w14:textId="77777777" w:rsidR="00DB1778" w:rsidRPr="00F51278" w:rsidRDefault="00DB1778">
      <w:pPr>
        <w:rPr>
          <w:rFonts w:ascii="Aptos" w:hAnsi="Aptos"/>
          <w:sz w:val="20"/>
          <w:szCs w:val="20"/>
        </w:rPr>
      </w:pPr>
    </w:p>
    <w:p w14:paraId="177121C2" w14:textId="77777777" w:rsidR="00DB1778" w:rsidRPr="00F51278" w:rsidRDefault="00000000">
      <w:pPr>
        <w:numPr>
          <w:ilvl w:val="0"/>
          <w:numId w:val="1"/>
        </w:numPr>
        <w:rPr>
          <w:rFonts w:ascii="Aptos" w:hAnsi="Aptos" w:cs="Arial"/>
          <w:sz w:val="20"/>
          <w:szCs w:val="20"/>
        </w:rPr>
      </w:pPr>
      <w:r w:rsidRPr="00F51278">
        <w:rPr>
          <w:rFonts w:ascii="Aptos" w:hAnsi="Aptos"/>
          <w:sz w:val="20"/>
          <w:szCs w:val="20"/>
        </w:rPr>
        <w:t>Health and Safety at Work etc. Act 1974 – general duty to identify and comply with applicable health and safety law</w:t>
      </w:r>
    </w:p>
    <w:p w14:paraId="6A28C86B" w14:textId="77777777" w:rsidR="00DB1778" w:rsidRPr="00F51278" w:rsidRDefault="00000000">
      <w:pPr>
        <w:numPr>
          <w:ilvl w:val="0"/>
          <w:numId w:val="1"/>
        </w:numPr>
        <w:rPr>
          <w:rFonts w:ascii="Aptos" w:hAnsi="Aptos" w:cs="Arial"/>
          <w:sz w:val="20"/>
          <w:szCs w:val="20"/>
        </w:rPr>
      </w:pPr>
      <w:r w:rsidRPr="00F51278">
        <w:rPr>
          <w:rFonts w:ascii="Aptos" w:hAnsi="Aptos"/>
          <w:sz w:val="20"/>
          <w:szCs w:val="20"/>
        </w:rPr>
        <w:t>ISO 45001:2018, Clause 6.1.3 (Determination of legal requirements and other requirements) – the current international standard for occupational health and safety management, which superseded OHSAS 18001 (certificates to OHSAS 18001 ceased to be valid from 11 March 2021)</w:t>
      </w:r>
    </w:p>
    <w:p w14:paraId="399DB2DF" w14:textId="77777777" w:rsidR="00DB1778" w:rsidRPr="00F51278" w:rsidRDefault="00000000">
      <w:pPr>
        <w:numPr>
          <w:ilvl w:val="0"/>
          <w:numId w:val="1"/>
        </w:numPr>
        <w:rPr>
          <w:rFonts w:ascii="Aptos" w:hAnsi="Aptos" w:cs="Arial"/>
          <w:sz w:val="20"/>
          <w:szCs w:val="20"/>
        </w:rPr>
      </w:pPr>
      <w:r w:rsidRPr="00F51278">
        <w:rPr>
          <w:rFonts w:ascii="Aptos" w:hAnsi="Aptos"/>
          <w:sz w:val="20"/>
          <w:szCs w:val="20"/>
        </w:rPr>
        <w:t>ISO 14001:2015, Clause 6.1.3 (Compliance obligations) – the equivalent requirement for environmental management</w:t>
      </w:r>
    </w:p>
    <w:p w14:paraId="71E3F478" w14:textId="77777777" w:rsidR="00DB1778" w:rsidRPr="00F51278" w:rsidRDefault="00000000">
      <w:pPr>
        <w:numPr>
          <w:ilvl w:val="0"/>
          <w:numId w:val="1"/>
        </w:numPr>
        <w:rPr>
          <w:rFonts w:ascii="Aptos" w:hAnsi="Aptos" w:cs="Arial"/>
          <w:sz w:val="20"/>
          <w:szCs w:val="20"/>
        </w:rPr>
      </w:pPr>
      <w:r w:rsidRPr="00F51278">
        <w:rPr>
          <w:rFonts w:ascii="Aptos" w:hAnsi="Aptos"/>
          <w:sz w:val="20"/>
          <w:szCs w:val="20"/>
        </w:rPr>
        <w:t>UK product conformity marking requirements (UKCA/CE), where applicable to specific products used or supplied by the Company</w:t>
      </w:r>
    </w:p>
    <w:p w14:paraId="5126892B" w14:textId="77777777" w:rsidR="00DB1778" w:rsidRPr="00F51278" w:rsidRDefault="00DB1778">
      <w:pPr>
        <w:rPr>
          <w:rFonts w:ascii="Aptos" w:hAnsi="Aptos"/>
          <w:sz w:val="20"/>
          <w:szCs w:val="20"/>
        </w:rPr>
      </w:pPr>
    </w:p>
    <w:p w14:paraId="4E690DE9" w14:textId="77777777" w:rsidR="008D155C" w:rsidRPr="00F51278" w:rsidRDefault="008D155C" w:rsidP="008D155C">
      <w:pPr>
        <w:rPr>
          <w:rFonts w:ascii="Aptos" w:hAnsi="Aptos" w:cs="Arial"/>
          <w:b/>
          <w:bCs/>
          <w:sz w:val="20"/>
          <w:szCs w:val="20"/>
        </w:rPr>
      </w:pPr>
      <w:r w:rsidRPr="00F51278">
        <w:rPr>
          <w:rFonts w:ascii="Aptos" w:hAnsi="Aptos" w:cs="Arial"/>
          <w:b/>
          <w:bCs/>
          <w:sz w:val="20"/>
          <w:szCs w:val="20"/>
        </w:rPr>
        <w:t>Process Owner:</w:t>
      </w:r>
    </w:p>
    <w:p w14:paraId="2F4794F0" w14:textId="77777777" w:rsidR="008D155C" w:rsidRPr="00F51278" w:rsidRDefault="008D155C" w:rsidP="008D155C">
      <w:pPr>
        <w:rPr>
          <w:rFonts w:ascii="Aptos" w:hAnsi="Aptos" w:cs="Arial"/>
          <w:b/>
          <w:bCs/>
          <w:sz w:val="20"/>
          <w:szCs w:val="20"/>
        </w:rPr>
      </w:pPr>
    </w:p>
    <w:p w14:paraId="6829873D" w14:textId="77777777" w:rsidR="008D155C" w:rsidRPr="00F51278" w:rsidRDefault="006418F8" w:rsidP="008D155C">
      <w:pPr>
        <w:rPr>
          <w:rFonts w:ascii="Aptos" w:hAnsi="Aptos" w:cs="Arial"/>
          <w:color w:val="FF0000"/>
          <w:sz w:val="20"/>
          <w:szCs w:val="20"/>
        </w:rPr>
      </w:pPr>
      <w:r w:rsidRPr="00F51278">
        <w:rPr>
          <w:rFonts w:ascii="Aptos" w:hAnsi="Aptos" w:cs="Arial"/>
          <w:color w:val="FF0000"/>
          <w:sz w:val="20"/>
          <w:szCs w:val="20"/>
        </w:rPr>
        <w:t>NAME - ROLE</w:t>
      </w:r>
    </w:p>
    <w:p w14:paraId="1C361703" w14:textId="77777777" w:rsidR="008D155C" w:rsidRPr="00F51278" w:rsidRDefault="008D155C" w:rsidP="008D155C">
      <w:pPr>
        <w:rPr>
          <w:rFonts w:ascii="Aptos" w:hAnsi="Aptos" w:cs="Arial"/>
          <w:sz w:val="20"/>
          <w:szCs w:val="20"/>
        </w:rPr>
      </w:pPr>
    </w:p>
    <w:p w14:paraId="621D9E7C" w14:textId="77777777" w:rsidR="008D155C" w:rsidRPr="00F51278" w:rsidRDefault="008D155C" w:rsidP="008D155C">
      <w:pPr>
        <w:rPr>
          <w:rFonts w:ascii="Aptos" w:hAnsi="Aptos" w:cs="Arial"/>
          <w:b/>
          <w:bCs/>
          <w:sz w:val="20"/>
          <w:szCs w:val="20"/>
        </w:rPr>
      </w:pPr>
      <w:r w:rsidRPr="00F51278">
        <w:rPr>
          <w:rFonts w:ascii="Aptos" w:hAnsi="Aptos" w:cs="Arial"/>
          <w:b/>
          <w:bCs/>
          <w:sz w:val="20"/>
          <w:szCs w:val="20"/>
        </w:rPr>
        <w:t>Process:</w:t>
      </w:r>
    </w:p>
    <w:p w14:paraId="2555F76E" w14:textId="77777777" w:rsidR="008D155C" w:rsidRPr="00F51278" w:rsidRDefault="008D155C" w:rsidP="008D155C">
      <w:pPr>
        <w:rPr>
          <w:rFonts w:ascii="Aptos" w:hAnsi="Aptos" w:cs="Arial"/>
          <w:b/>
          <w:bCs/>
          <w:sz w:val="20"/>
          <w:szCs w:val="20"/>
        </w:rPr>
      </w:pPr>
    </w:p>
    <w:p w14:paraId="6E01FE84" w14:textId="77777777" w:rsidR="008D155C" w:rsidRPr="00F51278" w:rsidRDefault="008D155C" w:rsidP="008D155C">
      <w:pPr>
        <w:jc w:val="center"/>
        <w:rPr>
          <w:rFonts w:ascii="Aptos" w:hAnsi="Aptos" w:cs="Arial"/>
          <w:b/>
          <w:bCs/>
          <w:sz w:val="20"/>
          <w:szCs w:val="20"/>
        </w:rPr>
      </w:pPr>
    </w:p>
    <w:p w14:paraId="5D8DF9B3" w14:textId="77777777" w:rsidR="008D155C" w:rsidRPr="00F51278" w:rsidRDefault="003A6E25" w:rsidP="008D155C">
      <w:pPr>
        <w:jc w:val="center"/>
        <w:rPr>
          <w:rFonts w:ascii="Aptos" w:hAnsi="Aptos" w:cs="Arial"/>
          <w:b/>
          <w:bCs/>
          <w:sz w:val="20"/>
          <w:szCs w:val="20"/>
        </w:rPr>
      </w:pPr>
      <w:r w:rsidRPr="00F51278">
        <w:rPr>
          <w:rFonts w:ascii="Aptos" w:hAnsi="Aptos" w:cs="Arial"/>
          <w:b/>
          <w:bCs/>
          <w:noProof/>
          <w:sz w:val="20"/>
          <w:szCs w:val="20"/>
        </w:rPr>
        <w:lastRenderedPageBreak/>
        <w:drawing>
          <wp:inline distT="0" distB="0" distL="0" distR="0" wp14:anchorId="0DF8D44D" wp14:editId="22C52704">
            <wp:extent cx="5270500" cy="7267575"/>
            <wp:effectExtent l="0" t="0" r="0" b="0"/>
            <wp:docPr id="901346230" name="Picture 1" descr="A diagram of a la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346230" name="Picture 1" descr="A diagram of a law&#10;&#10;Description automatically generated"/>
                    <pic:cNvPicPr/>
                  </pic:nvPicPr>
                  <pic:blipFill>
                    <a:blip r:embed="rId7"/>
                    <a:stretch>
                      <a:fillRect/>
                    </a:stretch>
                  </pic:blipFill>
                  <pic:spPr>
                    <a:xfrm>
                      <a:off x="0" y="0"/>
                      <a:ext cx="5270500" cy="7267575"/>
                    </a:xfrm>
                    <a:prstGeom prst="rect">
                      <a:avLst/>
                    </a:prstGeom>
                  </pic:spPr>
                </pic:pic>
              </a:graphicData>
            </a:graphic>
          </wp:inline>
        </w:drawing>
      </w:r>
    </w:p>
    <w:p w14:paraId="2AB12983" w14:textId="77777777" w:rsidR="008D155C" w:rsidRPr="00F51278" w:rsidRDefault="008D155C" w:rsidP="008D155C">
      <w:pPr>
        <w:jc w:val="center"/>
        <w:rPr>
          <w:rFonts w:ascii="Aptos" w:hAnsi="Aptos" w:cs="Arial"/>
          <w:sz w:val="20"/>
          <w:szCs w:val="20"/>
        </w:rPr>
      </w:pPr>
    </w:p>
    <w:p w14:paraId="69924620" w14:textId="77777777" w:rsidR="002513FE" w:rsidRPr="00F51278" w:rsidRDefault="002513FE" w:rsidP="00FF4CE5">
      <w:pPr>
        <w:rPr>
          <w:rFonts w:ascii="Aptos" w:hAnsi="Aptos" w:cs="Arial"/>
          <w:b/>
          <w:bCs/>
          <w:sz w:val="20"/>
          <w:szCs w:val="20"/>
          <w:u w:val="single"/>
        </w:rPr>
      </w:pPr>
    </w:p>
    <w:p w14:paraId="2B993B07" w14:textId="77777777" w:rsidR="00DB1778" w:rsidRPr="00F51278" w:rsidRDefault="00000000">
      <w:pPr>
        <w:rPr>
          <w:rFonts w:ascii="Aptos" w:hAnsi="Aptos"/>
          <w:sz w:val="20"/>
          <w:szCs w:val="20"/>
        </w:rPr>
      </w:pPr>
      <w:r w:rsidRPr="00F51278">
        <w:rPr>
          <w:rFonts w:ascii="Aptos" w:hAnsi="Aptos"/>
          <w:b/>
          <w:sz w:val="20"/>
          <w:szCs w:val="20"/>
        </w:rPr>
        <w:t>Process Summary:</w:t>
      </w:r>
    </w:p>
    <w:p w14:paraId="307A499F" w14:textId="77777777" w:rsidR="00DB1778" w:rsidRPr="00F51278" w:rsidRDefault="00DB1778">
      <w:pPr>
        <w:rPr>
          <w:rFonts w:ascii="Aptos" w:hAnsi="Aptos"/>
          <w:sz w:val="20"/>
          <w:szCs w:val="20"/>
        </w:rPr>
      </w:pPr>
    </w:p>
    <w:p w14:paraId="5E671693" w14:textId="77777777" w:rsidR="00DB1778" w:rsidRPr="00F51278" w:rsidRDefault="00000000">
      <w:pPr>
        <w:rPr>
          <w:rFonts w:ascii="Aptos" w:hAnsi="Aptos"/>
          <w:sz w:val="20"/>
          <w:szCs w:val="20"/>
        </w:rPr>
      </w:pPr>
      <w:r w:rsidRPr="00F51278">
        <w:rPr>
          <w:rFonts w:ascii="Aptos" w:hAnsi="Aptos"/>
          <w:sz w:val="20"/>
          <w:szCs w:val="20"/>
        </w:rPr>
        <w:t xml:space="preserve">The process is illustrated in the flowchart above and summarised as follows: the scope of Company operations is agreed by a Director; a hazard identification process (the Risk Assessment Process) is undertaken to identify and evaluate foreseeable risks – defined broadly as anything with the potential to cause harm, including health and safety, environmental impact, business continuity and public relations – in parallel with a search of the legislation, regulation and guidance relevant to the agreed scope of operations (company law, procurement law, health and safety law, environmental law, employment law and industry-specific codes of practice); </w:t>
      </w:r>
      <w:r w:rsidRPr="00F51278">
        <w:rPr>
          <w:rFonts w:ascii="Aptos" w:hAnsi="Aptos"/>
          <w:sz w:val="20"/>
          <w:szCs w:val="20"/>
        </w:rPr>
        <w:lastRenderedPageBreak/>
        <w:t>decisions are made on the control or compliance measures needed to reduce risk to a level as low as reasonably practicable, while access to all identified legislation and guidance is investigated and recorded on the Compliance Register (see Appendix 2 of the Aspects and Impacts Register); systematic checks are made for updates and further relevant legislation or guidance; documents are given their own index number and added to the Company Library; Directors agree Company policy in response; and policies, procedures and forms are documented accordingly, feeding into the internal audit programme.</w:t>
      </w:r>
    </w:p>
    <w:p w14:paraId="33D9FFFC" w14:textId="77777777" w:rsidR="00DB1778" w:rsidRPr="00F51278" w:rsidRDefault="00DB1778">
      <w:pPr>
        <w:rPr>
          <w:rFonts w:ascii="Aptos" w:hAnsi="Aptos"/>
          <w:sz w:val="20"/>
          <w:szCs w:val="20"/>
        </w:rPr>
      </w:pPr>
    </w:p>
    <w:p w14:paraId="4D3E46AE" w14:textId="77777777" w:rsidR="00DB1778" w:rsidRPr="00F51278" w:rsidRDefault="00000000">
      <w:pPr>
        <w:rPr>
          <w:rFonts w:ascii="Aptos" w:hAnsi="Aptos"/>
          <w:sz w:val="20"/>
          <w:szCs w:val="20"/>
        </w:rPr>
      </w:pPr>
      <w:r w:rsidRPr="00F51278">
        <w:rPr>
          <w:rFonts w:ascii="Aptos" w:hAnsi="Aptos"/>
          <w:b/>
          <w:sz w:val="20"/>
          <w:szCs w:val="20"/>
        </w:rPr>
        <w:t>Records:</w:t>
      </w:r>
    </w:p>
    <w:p w14:paraId="692A5CC5" w14:textId="77777777" w:rsidR="00DB1778" w:rsidRPr="00F51278" w:rsidRDefault="00DB1778">
      <w:pPr>
        <w:rPr>
          <w:rFonts w:ascii="Aptos" w:hAnsi="Aptos"/>
          <w:sz w:val="20"/>
          <w:szCs w:val="20"/>
        </w:rPr>
      </w:pPr>
    </w:p>
    <w:p w14:paraId="1935F06C" w14:textId="77777777" w:rsidR="00DB1778" w:rsidRPr="00F51278" w:rsidRDefault="00000000">
      <w:pPr>
        <w:rPr>
          <w:rFonts w:ascii="Aptos" w:hAnsi="Aptos"/>
          <w:sz w:val="20"/>
          <w:szCs w:val="20"/>
        </w:rPr>
      </w:pPr>
      <w:r w:rsidRPr="00F51278">
        <w:rPr>
          <w:rFonts w:ascii="Aptos" w:hAnsi="Aptos"/>
          <w:sz w:val="20"/>
          <w:szCs w:val="20"/>
        </w:rPr>
        <w:t>The Compliance Register, the Company Library index, and evidence of Director approval of Company policy are retained in line with the Documents, Data and Records Procedure.</w:t>
      </w:r>
    </w:p>
    <w:p w14:paraId="45552691" w14:textId="77777777" w:rsidR="00DB1778" w:rsidRPr="00F51278" w:rsidRDefault="00DB1778">
      <w:pPr>
        <w:rPr>
          <w:rFonts w:ascii="Aptos" w:hAnsi="Aptos"/>
          <w:sz w:val="20"/>
          <w:szCs w:val="20"/>
        </w:rPr>
      </w:pPr>
    </w:p>
    <w:p w14:paraId="6EB55F84" w14:textId="77777777" w:rsidR="00DB1778" w:rsidRPr="00F51278" w:rsidRDefault="00000000">
      <w:pPr>
        <w:rPr>
          <w:rFonts w:ascii="Aptos" w:hAnsi="Aptos"/>
          <w:sz w:val="20"/>
          <w:szCs w:val="20"/>
        </w:rPr>
      </w:pPr>
      <w:r w:rsidRPr="00F51278">
        <w:rPr>
          <w:rFonts w:ascii="Aptos" w:hAnsi="Aptos"/>
          <w:b/>
          <w:sz w:val="20"/>
          <w:szCs w:val="20"/>
        </w:rPr>
        <w:t>Review:</w:t>
      </w:r>
    </w:p>
    <w:p w14:paraId="3F1E38CC" w14:textId="77777777" w:rsidR="00DB1778" w:rsidRPr="00F51278" w:rsidRDefault="00DB1778">
      <w:pPr>
        <w:rPr>
          <w:rFonts w:ascii="Aptos" w:hAnsi="Aptos"/>
          <w:sz w:val="20"/>
          <w:szCs w:val="20"/>
        </w:rPr>
      </w:pPr>
    </w:p>
    <w:p w14:paraId="0575CEE4" w14:textId="77777777" w:rsidR="00DB1778" w:rsidRPr="00F51278" w:rsidRDefault="00000000">
      <w:pPr>
        <w:rPr>
          <w:rFonts w:ascii="Aptos" w:hAnsi="Aptos"/>
          <w:sz w:val="20"/>
          <w:szCs w:val="20"/>
        </w:rPr>
      </w:pPr>
      <w:r w:rsidRPr="00F51278">
        <w:rPr>
          <w:rFonts w:ascii="Aptos" w:hAnsi="Aptos"/>
          <w:sz w:val="20"/>
          <w:szCs w:val="20"/>
        </w:rPr>
        <w:t>Systematic checks are made for updates to identified legislation and guidance, and for newly relevant legislation or guidance, as shown in the process above. This procedure itself is reviewed at least annually, or sooner following a significant legislative change, an audit finding, or a change in the Company's activities, to confirm that arrangements remain effective.</w:t>
      </w:r>
    </w:p>
    <w:p w14:paraId="138EC012" w14:textId="77777777" w:rsidR="00DB1778" w:rsidRPr="00F51278" w:rsidRDefault="00DB1778">
      <w:pPr>
        <w:rPr>
          <w:rFonts w:ascii="Aptos" w:hAnsi="Aptos"/>
          <w:sz w:val="20"/>
          <w:szCs w:val="20"/>
        </w:rPr>
      </w:pPr>
    </w:p>
    <w:p w14:paraId="666B31B4" w14:textId="77777777" w:rsidR="00DB1778" w:rsidRPr="00F51278" w:rsidRDefault="00000000">
      <w:pPr>
        <w:rPr>
          <w:rFonts w:ascii="Aptos" w:hAnsi="Aptos"/>
          <w:sz w:val="20"/>
          <w:szCs w:val="20"/>
        </w:rPr>
      </w:pPr>
      <w:r w:rsidRPr="00F51278">
        <w:rPr>
          <w:rFonts w:ascii="Aptos" w:hAnsi="Aptos"/>
          <w:b/>
          <w:sz w:val="20"/>
          <w:szCs w:val="20"/>
        </w:rPr>
        <w:t>Document Control:</w:t>
      </w:r>
    </w:p>
    <w:p w14:paraId="395EA4F3" w14:textId="77777777" w:rsidR="00DB1778" w:rsidRPr="00F51278" w:rsidRDefault="00DB1778">
      <w:pPr>
        <w:rPr>
          <w:rFonts w:ascii="Aptos" w:hAnsi="Aptos"/>
          <w:sz w:val="20"/>
          <w:szCs w:val="20"/>
        </w:rPr>
      </w:pPr>
    </w:p>
    <w:p w14:paraId="7EEAE0F4" w14:textId="2E8CB4A9" w:rsidR="00DB1778" w:rsidRPr="00F51278" w:rsidRDefault="00000000">
      <w:pPr>
        <w:rPr>
          <w:rFonts w:ascii="Aptos" w:hAnsi="Aptos"/>
          <w:sz w:val="20"/>
          <w:szCs w:val="20"/>
        </w:rPr>
      </w:pPr>
      <w:r w:rsidRPr="00F51278">
        <w:rPr>
          <w:rFonts w:ascii="Aptos" w:hAnsi="Aptos"/>
          <w:sz w:val="20"/>
          <w:szCs w:val="20"/>
        </w:rPr>
        <w:t xml:space="preserve">This procedure is communicated to relevant staff, reviewed at least annually or sooner following legislative change, incidents or significant operational changes, and approved by a </w:t>
      </w:r>
      <w:r w:rsidR="00F51278" w:rsidRPr="00F51278">
        <w:rPr>
          <w:rFonts w:ascii="Aptos" w:hAnsi="Aptos"/>
          <w:sz w:val="20"/>
          <w:szCs w:val="20"/>
        </w:rPr>
        <w:t>director</w:t>
      </w:r>
      <w:r w:rsidRPr="00F51278">
        <w:rPr>
          <w:rFonts w:ascii="Aptos" w:hAnsi="Aptos"/>
          <w:sz w:val="20"/>
          <w:szCs w:val="20"/>
        </w:rPr>
        <w:t>.</w:t>
      </w:r>
    </w:p>
    <w:p w14:paraId="13C4F950" w14:textId="77777777" w:rsidR="00DB1778" w:rsidRPr="00F51278" w:rsidRDefault="00DB1778">
      <w:pPr>
        <w:rPr>
          <w:rFonts w:ascii="Aptos" w:hAnsi="Aptos"/>
          <w:sz w:val="20"/>
          <w:szCs w:val="20"/>
        </w:rPr>
      </w:pPr>
    </w:p>
    <w:tbl>
      <w:tblPr>
        <w:tblW w:w="82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2"/>
        <w:gridCol w:w="7068"/>
      </w:tblGrid>
      <w:tr w:rsidR="00077058" w:rsidRPr="00F51278" w14:paraId="2BE616BC" w14:textId="77777777" w:rsidTr="000B3656">
        <w:trPr>
          <w:trHeight w:val="1237"/>
          <w:jc w:val="center"/>
        </w:trPr>
        <w:tc>
          <w:tcPr>
            <w:tcW w:w="1222" w:type="dxa"/>
            <w:tcBorders>
              <w:bottom w:val="dotted" w:sz="4" w:space="0" w:color="000000"/>
              <w:right w:val="dotted" w:sz="4" w:space="0" w:color="000000"/>
            </w:tcBorders>
            <w:vAlign w:val="center"/>
          </w:tcPr>
          <w:p w14:paraId="069D3188" w14:textId="77777777" w:rsidR="00000000" w:rsidRPr="00F51278" w:rsidRDefault="00000000" w:rsidP="000B3656">
            <w:pPr>
              <w:rPr>
                <w:rFonts w:ascii="Aptos" w:eastAsia="Georgia" w:hAnsi="Aptos" w:cstheme="majorHAnsi"/>
                <w:sz w:val="20"/>
                <w:szCs w:val="20"/>
              </w:rPr>
            </w:pPr>
            <w:r w:rsidRPr="00F51278">
              <w:rPr>
                <w:rFonts w:ascii="Aptos" w:eastAsia="Georgia" w:hAnsi="Aptos" w:cstheme="majorHAnsi"/>
                <w:sz w:val="20"/>
                <w:szCs w:val="20"/>
              </w:rPr>
              <w:t>Signed</w:t>
            </w:r>
          </w:p>
        </w:tc>
        <w:tc>
          <w:tcPr>
            <w:tcW w:w="7068" w:type="dxa"/>
            <w:tcBorders>
              <w:left w:val="dotted" w:sz="4" w:space="0" w:color="000000"/>
              <w:bottom w:val="dotted" w:sz="4" w:space="0" w:color="000000"/>
            </w:tcBorders>
            <w:vAlign w:val="center"/>
          </w:tcPr>
          <w:p w14:paraId="5781DC1D" w14:textId="77777777" w:rsidR="00DB1778" w:rsidRPr="00F51278" w:rsidRDefault="00DB1778">
            <w:pPr>
              <w:rPr>
                <w:rFonts w:ascii="Aptos" w:hAnsi="Aptos"/>
                <w:sz w:val="20"/>
                <w:szCs w:val="20"/>
              </w:rPr>
            </w:pPr>
          </w:p>
        </w:tc>
      </w:tr>
      <w:tr w:rsidR="00077058" w:rsidRPr="00F51278" w14:paraId="321EDECB" w14:textId="77777777" w:rsidTr="000B3656">
        <w:trPr>
          <w:trHeight w:val="567"/>
          <w:jc w:val="center"/>
        </w:trPr>
        <w:tc>
          <w:tcPr>
            <w:tcW w:w="1222" w:type="dxa"/>
            <w:tcBorders>
              <w:top w:val="dotted" w:sz="4" w:space="0" w:color="000000"/>
              <w:bottom w:val="dotted" w:sz="4" w:space="0" w:color="000000"/>
              <w:right w:val="dotted" w:sz="4" w:space="0" w:color="000000"/>
            </w:tcBorders>
            <w:vAlign w:val="center"/>
          </w:tcPr>
          <w:p w14:paraId="3502E7BD" w14:textId="77777777" w:rsidR="00000000" w:rsidRPr="00F51278" w:rsidRDefault="00000000" w:rsidP="000B3656">
            <w:pPr>
              <w:rPr>
                <w:rFonts w:ascii="Aptos" w:eastAsia="Georgia" w:hAnsi="Aptos" w:cstheme="majorHAnsi"/>
                <w:sz w:val="20"/>
                <w:szCs w:val="20"/>
              </w:rPr>
            </w:pPr>
            <w:r w:rsidRPr="00F51278">
              <w:rPr>
                <w:rFonts w:ascii="Aptos" w:eastAsia="Georgia" w:hAnsi="Aptos" w:cstheme="majorHAnsi"/>
                <w:sz w:val="20"/>
                <w:szCs w:val="20"/>
              </w:rPr>
              <w:t>Name</w:t>
            </w:r>
          </w:p>
        </w:tc>
        <w:tc>
          <w:tcPr>
            <w:tcW w:w="7068" w:type="dxa"/>
            <w:tcBorders>
              <w:top w:val="dotted" w:sz="4" w:space="0" w:color="000000"/>
              <w:left w:val="dotted" w:sz="4" w:space="0" w:color="000000"/>
              <w:bottom w:val="dotted" w:sz="4" w:space="0" w:color="000000"/>
            </w:tcBorders>
            <w:vAlign w:val="center"/>
          </w:tcPr>
          <w:p w14:paraId="4B811567" w14:textId="77777777" w:rsidR="00DB1778" w:rsidRPr="00F51278" w:rsidRDefault="00DB1778">
            <w:pPr>
              <w:rPr>
                <w:rFonts w:ascii="Aptos" w:hAnsi="Aptos"/>
                <w:sz w:val="20"/>
                <w:szCs w:val="20"/>
              </w:rPr>
            </w:pPr>
          </w:p>
        </w:tc>
      </w:tr>
      <w:tr w:rsidR="00077058" w:rsidRPr="00F51278" w14:paraId="2B956FDE" w14:textId="77777777" w:rsidTr="000B3656">
        <w:trPr>
          <w:trHeight w:val="567"/>
          <w:jc w:val="center"/>
        </w:trPr>
        <w:tc>
          <w:tcPr>
            <w:tcW w:w="1222" w:type="dxa"/>
            <w:tcBorders>
              <w:top w:val="dotted" w:sz="4" w:space="0" w:color="000000"/>
              <w:bottom w:val="dotted" w:sz="4" w:space="0" w:color="000000"/>
              <w:right w:val="dotted" w:sz="4" w:space="0" w:color="000000"/>
            </w:tcBorders>
            <w:vAlign w:val="center"/>
          </w:tcPr>
          <w:p w14:paraId="6555EB6F" w14:textId="77777777" w:rsidR="00000000" w:rsidRPr="00F51278" w:rsidRDefault="00000000" w:rsidP="000B3656">
            <w:pPr>
              <w:rPr>
                <w:rFonts w:ascii="Aptos" w:eastAsia="Georgia" w:hAnsi="Aptos" w:cstheme="majorHAnsi"/>
                <w:sz w:val="20"/>
                <w:szCs w:val="20"/>
              </w:rPr>
            </w:pPr>
            <w:r w:rsidRPr="00F51278">
              <w:rPr>
                <w:rFonts w:ascii="Aptos" w:eastAsia="Georgia" w:hAnsi="Aptos" w:cstheme="majorHAnsi"/>
                <w:sz w:val="20"/>
                <w:szCs w:val="20"/>
              </w:rPr>
              <w:t>Position</w:t>
            </w:r>
          </w:p>
        </w:tc>
        <w:tc>
          <w:tcPr>
            <w:tcW w:w="7068" w:type="dxa"/>
            <w:tcBorders>
              <w:top w:val="dotted" w:sz="4" w:space="0" w:color="000000"/>
              <w:left w:val="dotted" w:sz="4" w:space="0" w:color="000000"/>
              <w:bottom w:val="dotted" w:sz="4" w:space="0" w:color="000000"/>
            </w:tcBorders>
            <w:vAlign w:val="center"/>
          </w:tcPr>
          <w:p w14:paraId="2C35EB6D" w14:textId="77777777" w:rsidR="00000000" w:rsidRPr="00F51278" w:rsidRDefault="00000000" w:rsidP="000B3656">
            <w:pPr>
              <w:rPr>
                <w:rFonts w:ascii="Aptos" w:eastAsia="Georgia" w:hAnsi="Aptos" w:cstheme="majorHAnsi"/>
                <w:sz w:val="20"/>
                <w:szCs w:val="20"/>
              </w:rPr>
            </w:pPr>
            <w:r w:rsidRPr="00F51278">
              <w:rPr>
                <w:rFonts w:ascii="Aptos" w:eastAsia="Georgia" w:hAnsi="Aptos" w:cstheme="majorHAnsi"/>
                <w:sz w:val="20"/>
                <w:szCs w:val="20"/>
              </w:rPr>
              <w:t>Director</w:t>
            </w:r>
          </w:p>
        </w:tc>
      </w:tr>
      <w:tr w:rsidR="00077058" w:rsidRPr="00F51278" w14:paraId="6C10B10E" w14:textId="77777777" w:rsidTr="000B3656">
        <w:trPr>
          <w:trHeight w:val="567"/>
          <w:jc w:val="center"/>
        </w:trPr>
        <w:tc>
          <w:tcPr>
            <w:tcW w:w="1222" w:type="dxa"/>
            <w:tcBorders>
              <w:top w:val="dotted" w:sz="4" w:space="0" w:color="000000"/>
              <w:right w:val="dotted" w:sz="4" w:space="0" w:color="000000"/>
            </w:tcBorders>
            <w:vAlign w:val="center"/>
          </w:tcPr>
          <w:p w14:paraId="1EF16520" w14:textId="77777777" w:rsidR="00000000" w:rsidRPr="00F51278" w:rsidRDefault="00000000" w:rsidP="000B3656">
            <w:pPr>
              <w:rPr>
                <w:rFonts w:ascii="Aptos" w:eastAsia="Georgia" w:hAnsi="Aptos" w:cstheme="majorHAnsi"/>
                <w:sz w:val="20"/>
                <w:szCs w:val="20"/>
              </w:rPr>
            </w:pPr>
            <w:r w:rsidRPr="00F51278">
              <w:rPr>
                <w:rFonts w:ascii="Aptos" w:eastAsia="Georgia" w:hAnsi="Aptos" w:cstheme="majorHAnsi"/>
                <w:sz w:val="20"/>
                <w:szCs w:val="20"/>
              </w:rPr>
              <w:t>Date</w:t>
            </w:r>
          </w:p>
        </w:tc>
        <w:tc>
          <w:tcPr>
            <w:tcW w:w="7068" w:type="dxa"/>
            <w:tcBorders>
              <w:top w:val="dotted" w:sz="4" w:space="0" w:color="000000"/>
              <w:left w:val="dotted" w:sz="4" w:space="0" w:color="000000"/>
            </w:tcBorders>
            <w:vAlign w:val="center"/>
          </w:tcPr>
          <w:p w14:paraId="2DC14F6C" w14:textId="77777777" w:rsidR="00DB1778" w:rsidRPr="00F51278" w:rsidRDefault="00DB1778">
            <w:pPr>
              <w:rPr>
                <w:rFonts w:ascii="Aptos" w:hAnsi="Aptos"/>
                <w:sz w:val="20"/>
                <w:szCs w:val="20"/>
              </w:rPr>
            </w:pPr>
          </w:p>
        </w:tc>
      </w:tr>
    </w:tbl>
    <w:p w14:paraId="57656996" w14:textId="77777777" w:rsidR="00E41E64" w:rsidRPr="00F51278" w:rsidRDefault="00E41E64">
      <w:pPr>
        <w:rPr>
          <w:rFonts w:ascii="Aptos" w:hAnsi="Aptos"/>
          <w:sz w:val="20"/>
          <w:szCs w:val="20"/>
        </w:rPr>
      </w:pPr>
    </w:p>
    <w:sectPr w:rsidR="00E41E64" w:rsidRPr="00F51278" w:rsidSect="00FF4E49">
      <w:headerReference w:type="even" r:id="rId8"/>
      <w:headerReference w:type="default" r:id="rId9"/>
      <w:footerReference w:type="even" r:id="rId10"/>
      <w:footerReference w:type="default" r:id="rId11"/>
      <w:headerReference w:type="first" r:id="rId12"/>
      <w:footerReference w:type="first" r:id="rId13"/>
      <w:pgSz w:w="11900" w:h="16840"/>
      <w:pgMar w:top="56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EC3A76" w14:textId="77777777" w:rsidR="00E41E64" w:rsidRDefault="00E41E64" w:rsidP="00C5152A">
      <w:r>
        <w:separator/>
      </w:r>
    </w:p>
  </w:endnote>
  <w:endnote w:type="continuationSeparator" w:id="0">
    <w:p w14:paraId="0F5BDC30" w14:textId="77777777" w:rsidR="00E41E64" w:rsidRDefault="00E41E64" w:rsidP="00C51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663FE3" w14:textId="77777777" w:rsidR="00F51278" w:rsidRDefault="00F512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401A35" w14:textId="6D59126B" w:rsidR="00F51278" w:rsidRPr="00BA216F" w:rsidRDefault="00F51278" w:rsidP="00F51278">
    <w:pPr>
      <w:rPr>
        <w:rFonts w:ascii="Aptos" w:hAnsi="Aptos"/>
        <w:color w:val="FF0000"/>
        <w:sz w:val="15"/>
        <w:szCs w:val="15"/>
      </w:rPr>
    </w:pPr>
    <w:r w:rsidRPr="00BA216F">
      <w:rPr>
        <w:rFonts w:ascii="Aptos" w:hAnsi="Aptos"/>
        <w:color w:val="FF0000"/>
        <w:sz w:val="15"/>
        <w:szCs w:val="15"/>
      </w:rPr>
      <w:t xml:space="preserve">[COMPANY NAME] </w:t>
    </w:r>
    <w:r>
      <w:rPr>
        <w:rFonts w:ascii="Aptos" w:hAnsi="Aptos"/>
        <w:sz w:val="15"/>
        <w:szCs w:val="15"/>
      </w:rPr>
      <w:t>Legal and other Requirements</w:t>
    </w:r>
    <w:r>
      <w:rPr>
        <w:rFonts w:ascii="Aptos" w:hAnsi="Aptos"/>
        <w:sz w:val="15"/>
        <w:szCs w:val="15"/>
      </w:rPr>
      <w:t xml:space="preserve"> Procedure</w:t>
    </w:r>
    <w:r w:rsidRPr="002E5DC7">
      <w:rPr>
        <w:rFonts w:ascii="Aptos" w:hAnsi="Aptos"/>
        <w:sz w:val="15"/>
        <w:szCs w:val="15"/>
      </w:rPr>
      <w:t xml:space="preserve"> – </w:t>
    </w:r>
    <w:r w:rsidRPr="002E5DC7">
      <w:rPr>
        <w:rFonts w:ascii="Aptos" w:hAnsi="Aptos"/>
        <w:sz w:val="15"/>
        <w:szCs w:val="15"/>
      </w:rPr>
      <w:t>ARB-P</w:t>
    </w:r>
    <w:r>
      <w:rPr>
        <w:rFonts w:ascii="Aptos" w:hAnsi="Aptos"/>
        <w:sz w:val="15"/>
        <w:szCs w:val="15"/>
      </w:rPr>
      <w:t>ROC</w:t>
    </w:r>
    <w:r w:rsidRPr="002E5DC7">
      <w:rPr>
        <w:rFonts w:ascii="Aptos" w:hAnsi="Aptos"/>
        <w:sz w:val="15"/>
        <w:szCs w:val="15"/>
      </w:rPr>
      <w:t>-0</w:t>
    </w:r>
    <w:r>
      <w:rPr>
        <w:rFonts w:ascii="Aptos" w:hAnsi="Aptos"/>
        <w:sz w:val="15"/>
        <w:szCs w:val="15"/>
      </w:rPr>
      <w:t>13</w:t>
    </w:r>
    <w:r>
      <w:rPr>
        <w:rFonts w:ascii="Aptos" w:hAnsi="Aptos"/>
        <w:sz w:val="15"/>
        <w:szCs w:val="15"/>
      </w:rPr>
      <w:t xml:space="preserve">- </w:t>
    </w:r>
    <w:r w:rsidRPr="002E5DC7">
      <w:rPr>
        <w:rFonts w:ascii="Aptos" w:hAnsi="Aptos"/>
        <w:color w:val="FF0000"/>
        <w:sz w:val="15"/>
        <w:szCs w:val="15"/>
      </w:rPr>
      <w:t>V</w:t>
    </w:r>
    <w:r w:rsidRPr="00BA216F">
      <w:rPr>
        <w:rFonts w:ascii="Aptos" w:hAnsi="Aptos"/>
        <w:color w:val="FF0000"/>
        <w:sz w:val="15"/>
        <w:szCs w:val="15"/>
      </w:rPr>
      <w:t>ersion: [VERSION]</w:t>
    </w:r>
    <w:r>
      <w:rPr>
        <w:rFonts w:ascii="Aptos" w:hAnsi="Aptos"/>
        <w:color w:val="FF0000"/>
        <w:sz w:val="15"/>
        <w:szCs w:val="15"/>
      </w:rPr>
      <w:t xml:space="preserve"> -</w:t>
    </w:r>
    <w:r w:rsidRPr="00BA216F">
      <w:rPr>
        <w:rFonts w:ascii="Aptos" w:hAnsi="Aptos"/>
        <w:color w:val="FF0000"/>
        <w:sz w:val="15"/>
        <w:szCs w:val="15"/>
      </w:rPr>
      <w:t xml:space="preserve"> Date Issued: [DATE]   Review Date: [REVIEW DATE]</w:t>
    </w:r>
  </w:p>
  <w:p w14:paraId="6B3FB995" w14:textId="3C49A459" w:rsidR="004C75FF" w:rsidRPr="00F51278" w:rsidRDefault="00F51278" w:rsidP="00F51278">
    <w:pPr>
      <w:rPr>
        <w:rFonts w:ascii="Aptos Display" w:hAnsi="Aptos Display"/>
        <w:color w:val="FF0000"/>
        <w:sz w:val="16"/>
        <w:szCs w:val="16"/>
      </w:rPr>
    </w:pPr>
    <w:r w:rsidRPr="00F179ED">
      <w:rPr>
        <w:rFonts w:ascii="Aptos Display" w:hAnsi="Aptos Display"/>
        <w:color w:val="FF0000"/>
        <w:sz w:val="16"/>
        <w:szCs w:val="16"/>
      </w:rPr>
      <w:t>Not controlled when printed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C1BBAF" w14:textId="77777777" w:rsidR="00F51278" w:rsidRDefault="00F512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EFE30B" w14:textId="77777777" w:rsidR="00E41E64" w:rsidRDefault="00E41E64" w:rsidP="00C5152A">
      <w:r>
        <w:separator/>
      </w:r>
    </w:p>
  </w:footnote>
  <w:footnote w:type="continuationSeparator" w:id="0">
    <w:p w14:paraId="4280EC5A" w14:textId="77777777" w:rsidR="00E41E64" w:rsidRDefault="00E41E64" w:rsidP="00C515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948A07" w14:textId="77777777" w:rsidR="00F51278" w:rsidRDefault="00F512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99F96A" w14:textId="77777777" w:rsidR="00F51278" w:rsidRPr="00F179ED" w:rsidRDefault="00F51278" w:rsidP="00F51278">
    <w:pPr>
      <w:rPr>
        <w:rFonts w:ascii="Aptos Display" w:hAnsi="Aptos Display"/>
        <w:color w:val="FF0000"/>
        <w:sz w:val="20"/>
        <w:szCs w:val="20"/>
      </w:rPr>
    </w:pPr>
    <w:r w:rsidRPr="00F179ED">
      <w:rPr>
        <w:rFonts w:ascii="Aptos Display" w:hAnsi="Aptos Display"/>
        <w:color w:val="FF0000"/>
        <w:sz w:val="20"/>
        <w:szCs w:val="20"/>
      </w:rPr>
      <w:t>LOGO [Insert Company Logo Here]</w:t>
    </w:r>
  </w:p>
  <w:p w14:paraId="0A14ACE3" w14:textId="77777777" w:rsidR="006418F8" w:rsidRDefault="006418F8" w:rsidP="006418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64367A" w14:textId="77777777" w:rsidR="00F51278" w:rsidRDefault="00F512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4E798D"/>
    <w:multiLevelType w:val="hybridMultilevel"/>
    <w:tmpl w:val="B7E6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502FAC"/>
    <w:multiLevelType w:val="hybridMultilevel"/>
    <w:tmpl w:val="51CEB5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DC81D22"/>
    <w:multiLevelType w:val="hybridMultilevel"/>
    <w:tmpl w:val="B4664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617605"/>
    <w:multiLevelType w:val="hybridMultilevel"/>
    <w:tmpl w:val="EEB2E7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B920DB7"/>
    <w:multiLevelType w:val="hybridMultilevel"/>
    <w:tmpl w:val="A0CAF5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E8D0FAE"/>
    <w:multiLevelType w:val="hybridMultilevel"/>
    <w:tmpl w:val="57283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813B3E"/>
    <w:multiLevelType w:val="hybridMultilevel"/>
    <w:tmpl w:val="164008F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1921405348">
    <w:abstractNumId w:val="0"/>
  </w:num>
  <w:num w:numId="2" w16cid:durableId="544221845">
    <w:abstractNumId w:val="5"/>
  </w:num>
  <w:num w:numId="3" w16cid:durableId="1218319001">
    <w:abstractNumId w:val="4"/>
  </w:num>
  <w:num w:numId="4" w16cid:durableId="2004967347">
    <w:abstractNumId w:val="1"/>
  </w:num>
  <w:num w:numId="5" w16cid:durableId="1886983672">
    <w:abstractNumId w:val="2"/>
  </w:num>
  <w:num w:numId="6" w16cid:durableId="424227400">
    <w:abstractNumId w:val="3"/>
  </w:num>
  <w:num w:numId="7" w16cid:durableId="881592879">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52A"/>
    <w:rsid w:val="002513FE"/>
    <w:rsid w:val="002D1B60"/>
    <w:rsid w:val="00357C1B"/>
    <w:rsid w:val="003A6E25"/>
    <w:rsid w:val="004B5F1B"/>
    <w:rsid w:val="004C75FF"/>
    <w:rsid w:val="004E6DCB"/>
    <w:rsid w:val="005B1904"/>
    <w:rsid w:val="005D3129"/>
    <w:rsid w:val="006418F8"/>
    <w:rsid w:val="00650544"/>
    <w:rsid w:val="00692171"/>
    <w:rsid w:val="006E516F"/>
    <w:rsid w:val="007E4AA1"/>
    <w:rsid w:val="00856E6C"/>
    <w:rsid w:val="00895060"/>
    <w:rsid w:val="008D155C"/>
    <w:rsid w:val="00944550"/>
    <w:rsid w:val="00B21449"/>
    <w:rsid w:val="00B34885"/>
    <w:rsid w:val="00B70D68"/>
    <w:rsid w:val="00C5152A"/>
    <w:rsid w:val="00C74F02"/>
    <w:rsid w:val="00D41272"/>
    <w:rsid w:val="00DB1778"/>
    <w:rsid w:val="00E41E64"/>
    <w:rsid w:val="00EC6282"/>
    <w:rsid w:val="00F0375F"/>
    <w:rsid w:val="00F51278"/>
    <w:rsid w:val="00F52823"/>
    <w:rsid w:val="00FF4CE5"/>
    <w:rsid w:val="00FF4E4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527A571"/>
  <w14:defaultImageDpi w14:val="300"/>
  <w15:docId w15:val="{3503D513-B3FF-E24A-9E37-1C336ECF6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5FF"/>
    <w:rPr>
      <w:rFonts w:ascii="Times New Roman" w:eastAsia="Times New Roman" w:hAnsi="Times New Roman" w:cs="Times New Roman"/>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3129"/>
    <w:rPr>
      <w:rFonts w:ascii="Lucida Grande" w:hAnsi="Lucida Grande"/>
      <w:sz w:val="18"/>
      <w:szCs w:val="18"/>
    </w:rPr>
  </w:style>
  <w:style w:type="character" w:customStyle="1" w:styleId="BalloonTextChar">
    <w:name w:val="Balloon Text Char"/>
    <w:basedOn w:val="DefaultParagraphFont"/>
    <w:link w:val="BalloonText"/>
    <w:uiPriority w:val="99"/>
    <w:semiHidden/>
    <w:rsid w:val="005D3129"/>
    <w:rPr>
      <w:rFonts w:ascii="Lucida Grande" w:hAnsi="Lucida Grande"/>
      <w:sz w:val="18"/>
      <w:szCs w:val="18"/>
    </w:rPr>
  </w:style>
  <w:style w:type="paragraph" w:styleId="Header">
    <w:name w:val="header"/>
    <w:basedOn w:val="Normal"/>
    <w:link w:val="HeaderChar"/>
    <w:uiPriority w:val="99"/>
    <w:unhideWhenUsed/>
    <w:rsid w:val="00C5152A"/>
    <w:pPr>
      <w:tabs>
        <w:tab w:val="center" w:pos="4680"/>
        <w:tab w:val="right" w:pos="9360"/>
      </w:tabs>
    </w:pPr>
  </w:style>
  <w:style w:type="character" w:customStyle="1" w:styleId="HeaderChar">
    <w:name w:val="Header Char"/>
    <w:basedOn w:val="DefaultParagraphFont"/>
    <w:link w:val="Header"/>
    <w:uiPriority w:val="99"/>
    <w:rsid w:val="00C5152A"/>
  </w:style>
  <w:style w:type="paragraph" w:styleId="Footer">
    <w:name w:val="footer"/>
    <w:basedOn w:val="Normal"/>
    <w:link w:val="FooterChar"/>
    <w:uiPriority w:val="99"/>
    <w:unhideWhenUsed/>
    <w:rsid w:val="00C5152A"/>
    <w:pPr>
      <w:tabs>
        <w:tab w:val="center" w:pos="4680"/>
        <w:tab w:val="right" w:pos="9360"/>
      </w:tabs>
    </w:pPr>
  </w:style>
  <w:style w:type="character" w:customStyle="1" w:styleId="FooterChar">
    <w:name w:val="Footer Char"/>
    <w:basedOn w:val="DefaultParagraphFont"/>
    <w:link w:val="Footer"/>
    <w:uiPriority w:val="99"/>
    <w:rsid w:val="00C5152A"/>
  </w:style>
  <w:style w:type="paragraph" w:customStyle="1" w:styleId="Default">
    <w:name w:val="Default"/>
    <w:rsid w:val="00FF4CE5"/>
    <w:pPr>
      <w:autoSpaceDE w:val="0"/>
      <w:autoSpaceDN w:val="0"/>
      <w:adjustRightInd w:val="0"/>
    </w:pPr>
    <w:rPr>
      <w:rFonts w:ascii="Arial" w:eastAsia="Times New Roman" w:hAnsi="Arial" w:cs="Arial"/>
      <w:color w:val="000000"/>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ophierogers/Dropbox%20(HRG)/HRG%20team%20folder/COMPANY%20NET%20(S)/LOGO%20and%20Stationery/HRG%20TS%20-%20Word%20Template%20A4.%20-%20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HRG TS - Word Template A4. - V1.dotx</Template>
  <TotalTime>1</TotalTime>
  <Pages>3</Pages>
  <Words>560</Words>
  <Characters>3457</Characters>
  <Application>Microsoft Office Word</Application>
  <DocSecurity>0</DocSecurity>
  <Lines>108</Lines>
  <Paragraphs>61</Paragraphs>
  <ScaleCrop>false</ScaleCrop>
  <Company>C</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 Ghijben</dc:creator>
  <cp:keywords/>
  <dc:description/>
  <cp:lastModifiedBy>Sophie Rogers</cp:lastModifiedBy>
  <cp:revision>2</cp:revision>
  <cp:lastPrinted>2021-02-12T13:48:00Z</cp:lastPrinted>
  <dcterms:created xsi:type="dcterms:W3CDTF">2026-09-02T09:56:00Z</dcterms:created>
  <dcterms:modified xsi:type="dcterms:W3CDTF">2026-09-02T09:56:00Z</dcterms:modified>
</cp:coreProperties>
</file>