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pPr>
      <w:r>
        <w:rPr>
          <w:rFonts w:ascii="Aptos" w:cs="Aptos" w:eastAsia="Aptos" w:hAnsi="Aptos"/>
          <w:b/>
          <w:bCs/>
          <w:color w:val="6B4E8E"/>
          <w:sz w:val="18"/>
          <w:szCs w:val="18"/>
        </w:rPr>
        <w:t xml:space="preserve">SALES GUIDE  ·  LAMINATABLE CARD</w:t>
      </w:r>
    </w:p>
    <w:p>
      <w:pPr>
        <w:spacing w:after="40" w:before="0" w:line="240" w:lineRule="auto"/>
      </w:pPr>
      <w:r>
        <w:rPr>
          <w:rFonts w:ascii="Aptos" w:cs="Aptos" w:eastAsia="Aptos" w:hAnsi="Aptos"/>
          <w:b/>
          <w:bCs/>
          <w:color w:val="5C3566"/>
          <w:sz w:val="34"/>
          <w:szCs w:val="34"/>
        </w:rPr>
        <w:t xml:space="preserve">THE 15-MINUTE WEEKLY SALES ROUTINE</w:t>
      </w:r>
    </w:p>
    <w:p>
      <w:pPr>
        <w:spacing w:after="70" w:before="0" w:line="300"/>
      </w:pPr>
      <w:r>
        <w:rPr>
          <w:rFonts w:ascii="Aptos" w:cs="Aptos" w:eastAsia="Aptos" w:hAnsi="Aptos"/>
          <w:color w:val="595959"/>
          <w:sz w:val="19"/>
          <w:szCs w:val="19"/>
        </w:rPr>
        <w:t xml:space="preserve">15 minutes every Monday keeps work coming in. Print pages 1–2 back to back and laminate.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0"/>
        <w:gridCol w:w="3369"/>
        <w:gridCol w:w="1450"/>
        <w:gridCol w:w="3369"/>
      </w:tblGrid>
      <w:tr>
        <w:trPr>
          <w:cantSplit/>
        </w:trPr>
        <w:tc>
          <w:tcPr>
            <w:tcW w:type="dxa" w:w="1450"/>
            <w:tcBorders>
              <w:top w:val="single" w:color="000000" w:sz="4"/>
              <w:left w:val="single" w:color="000000" w:sz="4"/>
              <w:bottom w:val="single" w:color="000000" w:sz="4"/>
              <w:right w:val="single" w:color="000000" w:sz="4"/>
            </w:tcBorders>
            <w:shd w:fill="F3EFF7" w:color="auto" w:val="clear"/>
            <w:tcMar>
              <w:top w:type="dxa" w:w="35"/>
              <w:left w:type="dxa" w:w="130"/>
              <w:bottom w:type="dxa" w:w="35"/>
              <w:right w:type="dxa" w:w="130"/>
            </w:tcMar>
            <w:vAlign w:val="top"/>
          </w:tcPr>
          <w:p>
            <w:pPr>
              <w:spacing w:after="40" w:line="276"/>
            </w:pPr>
            <w:r>
              <w:rPr>
                <w:rFonts w:ascii="Aptos" w:cs="Aptos" w:eastAsia="Aptos" w:hAnsi="Aptos"/>
                <w:b/>
                <w:bCs/>
                <w:color w:val="5C3566"/>
                <w:sz w:val="16"/>
                <w:szCs w:val="16"/>
              </w:rPr>
              <w:t xml:space="preserve">What it is for</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A small, fixed sales habit that keeps your pipeline moving.</w:t>
            </w:r>
          </w:p>
        </w:tc>
        <w:tc>
          <w:tcPr>
            <w:tcW w:type="dxa" w:w="1450"/>
            <w:tcBorders>
              <w:top w:val="single" w:color="000000" w:sz="4"/>
              <w:left w:val="single" w:color="000000" w:sz="4"/>
              <w:bottom w:val="single" w:color="000000" w:sz="4"/>
              <w:right w:val="single" w:color="000000" w:sz="4"/>
            </w:tcBorders>
            <w:shd w:fill="F3EFF7" w:color="auto" w:val="clear"/>
            <w:tcMar>
              <w:top w:type="dxa" w:w="35"/>
              <w:left w:type="dxa" w:w="130"/>
              <w:bottom w:type="dxa" w:w="35"/>
              <w:right w:type="dxa" w:w="130"/>
            </w:tcMar>
            <w:vAlign w:val="top"/>
          </w:tcPr>
          <w:p>
            <w:pPr>
              <w:spacing w:after="40" w:line="276"/>
            </w:pPr>
            <w:r>
              <w:rPr>
                <w:rFonts w:ascii="Aptos" w:cs="Aptos" w:eastAsia="Aptos" w:hAnsi="Aptos"/>
                <w:b/>
                <w:bCs/>
                <w:color w:val="5C3566"/>
                <w:sz w:val="16"/>
                <w:szCs w:val="16"/>
              </w:rPr>
              <w:t xml:space="preserve">Who</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The owner or office lead. Can be shared.</w:t>
            </w:r>
          </w:p>
        </w:tc>
      </w:tr>
      <w:tr>
        <w:trPr>
          <w:cantSplit/>
        </w:trPr>
        <w:tc>
          <w:tcPr>
            <w:tcW w:type="dxa" w:w="1450"/>
            <w:tcBorders>
              <w:top w:val="single" w:color="000000" w:sz="4"/>
              <w:left w:val="single" w:color="000000" w:sz="4"/>
              <w:bottom w:val="single" w:color="000000" w:sz="4"/>
              <w:right w:val="single" w:color="000000" w:sz="4"/>
            </w:tcBorders>
            <w:shd w:fill="F3EFF7" w:color="auto" w:val="clear"/>
            <w:tcMar>
              <w:top w:type="dxa" w:w="35"/>
              <w:left w:type="dxa" w:w="130"/>
              <w:bottom w:type="dxa" w:w="35"/>
              <w:right w:type="dxa" w:w="130"/>
            </w:tcMar>
            <w:vAlign w:val="top"/>
          </w:tcPr>
          <w:p>
            <w:pPr>
              <w:spacing w:after="40" w:line="276"/>
            </w:pPr>
            <w:r>
              <w:rPr>
                <w:rFonts w:ascii="Aptos" w:cs="Aptos" w:eastAsia="Aptos" w:hAnsi="Aptos"/>
                <w:b/>
                <w:bCs/>
                <w:color w:val="5C3566"/>
                <w:sz w:val="16"/>
                <w:szCs w:val="16"/>
              </w:rPr>
              <w:t xml:space="preserve">When</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Every Monday at </w:t>
            </w:r>
            <w:r>
              <w:rPr>
                <w:rFonts w:ascii="Aptos" w:cs="Aptos" w:eastAsia="Aptos" w:hAnsi="Aptos"/>
                <w:color w:val="FF0000"/>
                <w:sz w:val="16"/>
                <w:szCs w:val="16"/>
              </w:rPr>
              <w:t xml:space="preserve">[time]</w:t>
            </w:r>
            <w:r>
              <w:rPr>
                <w:rFonts w:ascii="Aptos" w:cs="Aptos" w:eastAsia="Aptos" w:hAnsi="Aptos"/>
                <w:sz w:val="16"/>
                <w:szCs w:val="16"/>
              </w:rPr>
              <w:t xml:space="preserve">. Monthly review: first Monday.</w:t>
            </w:r>
          </w:p>
        </w:tc>
        <w:tc>
          <w:tcPr>
            <w:tcW w:type="dxa" w:w="1450"/>
            <w:tcBorders>
              <w:top w:val="single" w:color="000000" w:sz="4"/>
              <w:left w:val="single" w:color="000000" w:sz="4"/>
              <w:bottom w:val="single" w:color="000000" w:sz="4"/>
              <w:right w:val="single" w:color="000000" w:sz="4"/>
            </w:tcBorders>
            <w:shd w:fill="F3EFF7" w:color="auto" w:val="clear"/>
            <w:tcMar>
              <w:top w:type="dxa" w:w="35"/>
              <w:left w:type="dxa" w:w="130"/>
              <w:bottom w:type="dxa" w:w="35"/>
              <w:right w:type="dxa" w:w="130"/>
            </w:tcMar>
            <w:vAlign w:val="top"/>
          </w:tcPr>
          <w:p>
            <w:pPr>
              <w:spacing w:after="40" w:line="276"/>
            </w:pPr>
            <w:r>
              <w:rPr>
                <w:rFonts w:ascii="Aptos" w:cs="Aptos" w:eastAsia="Aptos" w:hAnsi="Aptos"/>
                <w:b/>
                <w:bCs/>
                <w:color w:val="5C3566"/>
                <w:sz w:val="16"/>
                <w:szCs w:val="16"/>
              </w:rPr>
              <w:t xml:space="preserve">Time needed</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15 minutes a week. 30 minutes a month.</w:t>
            </w:r>
          </w:p>
        </w:tc>
      </w:tr>
      <w:tr>
        <w:trPr>
          <w:cantSplit/>
        </w:trPr>
        <w:tc>
          <w:tcPr>
            <w:tcW w:type="dxa" w:w="1450"/>
            <w:tcBorders>
              <w:top w:val="single" w:color="000000" w:sz="4"/>
              <w:left w:val="single" w:color="000000" w:sz="4"/>
              <w:bottom w:val="single" w:color="000000" w:sz="4"/>
              <w:right w:val="single" w:color="000000" w:sz="4"/>
            </w:tcBorders>
            <w:shd w:fill="F3EFF7" w:color="auto" w:val="clear"/>
            <w:tcMar>
              <w:top w:type="dxa" w:w="35"/>
              <w:left w:type="dxa" w:w="130"/>
              <w:bottom w:type="dxa" w:w="35"/>
              <w:right w:type="dxa" w:w="130"/>
            </w:tcMar>
            <w:vAlign w:val="top"/>
          </w:tcPr>
          <w:p>
            <w:pPr>
              <w:spacing w:after="40" w:line="276"/>
            </w:pPr>
            <w:r>
              <w:rPr>
                <w:rFonts w:ascii="Aptos" w:cs="Aptos" w:eastAsia="Aptos" w:hAnsi="Aptos"/>
                <w:b/>
                <w:bCs/>
                <w:color w:val="5C3566"/>
                <w:sz w:val="16"/>
                <w:szCs w:val="16"/>
              </w:rPr>
              <w:t xml:space="preserve">You will need</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Tracker (ARB-BD-04), email templates (ARB-BD-03), a timer.</w:t>
            </w:r>
          </w:p>
        </w:tc>
        <w:tc>
          <w:tcPr>
            <w:tcW w:type="dxa" w:w="1450"/>
            <w:tcBorders>
              <w:top w:val="single" w:color="000000" w:sz="4"/>
              <w:left w:val="single" w:color="000000" w:sz="4"/>
              <w:bottom w:val="single" w:color="000000" w:sz="4"/>
              <w:right w:val="single" w:color="000000" w:sz="4"/>
            </w:tcBorders>
            <w:shd w:fill="F3EFF7" w:color="auto" w:val="clear"/>
            <w:tcMar>
              <w:top w:type="dxa" w:w="35"/>
              <w:left w:type="dxa" w:w="130"/>
              <w:bottom w:type="dxa" w:w="35"/>
              <w:right w:type="dxa" w:w="130"/>
            </w:tcMar>
            <w:vAlign w:val="top"/>
          </w:tcPr>
          <w:p>
            <w:pPr>
              <w:spacing w:after="40" w:line="276"/>
            </w:pPr>
            <w:r>
              <w:rPr>
                <w:rFonts w:ascii="Aptos" w:cs="Aptos" w:eastAsia="Aptos" w:hAnsi="Aptos"/>
                <w:b/>
                <w:bCs/>
                <w:color w:val="5C3566"/>
                <w:sz w:val="16"/>
                <w:szCs w:val="16"/>
              </w:rPr>
              <w:t xml:space="preserve">Where it goes</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On the office wall or by the desk. Tracker holds the records.</w:t>
            </w:r>
          </w:p>
        </w:tc>
      </w:tr>
      <w:tr>
        <w:trPr>
          <w:cantSplit/>
        </w:trPr>
        <w:tc>
          <w:tcPr>
            <w:tcW w:type="dxa" w:w="1450"/>
            <w:tcBorders>
              <w:top w:val="single" w:color="000000" w:sz="4"/>
              <w:left w:val="single" w:color="000000" w:sz="4"/>
              <w:bottom w:val="single" w:color="000000" w:sz="4"/>
              <w:right w:val="single" w:color="000000" w:sz="4"/>
            </w:tcBorders>
            <w:shd w:fill="6B4E8E" w:color="auto" w:val="clear"/>
            <w:tcMar>
              <w:top w:type="dxa" w:w="35"/>
              <w:left w:type="dxa" w:w="130"/>
              <w:bottom w:type="dxa" w:w="35"/>
              <w:right w:type="dxa" w:w="130"/>
            </w:tcMar>
            <w:vAlign w:val="top"/>
          </w:tcPr>
          <w:p>
            <w:pPr>
              <w:spacing w:after="40" w:line="276"/>
            </w:pPr>
            <w:r>
              <w:rPr>
                <w:rFonts w:ascii="Aptos" w:cs="Aptos" w:eastAsia="Aptos" w:hAnsi="Aptos"/>
                <w:b/>
                <w:bCs/>
                <w:color w:val="FFFFFF"/>
                <w:sz w:val="16"/>
                <w:szCs w:val="16"/>
              </w:rPr>
              <w:t xml:space="preserve">Reference</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ARB-BD-06  ·  Version 1.0</w:t>
            </w:r>
          </w:p>
        </w:tc>
        <w:tc>
          <w:tcPr>
            <w:tcW w:type="dxa" w:w="1450"/>
            <w:tcBorders>
              <w:top w:val="single" w:color="000000" w:sz="4"/>
              <w:left w:val="single" w:color="000000" w:sz="4"/>
              <w:bottom w:val="single" w:color="000000" w:sz="4"/>
              <w:right w:val="single" w:color="000000" w:sz="4"/>
            </w:tcBorders>
            <w:shd w:fill="6B4E8E" w:color="auto" w:val="clear"/>
            <w:tcMar>
              <w:top w:type="dxa" w:w="35"/>
              <w:left w:type="dxa" w:w="130"/>
              <w:bottom w:type="dxa" w:w="35"/>
              <w:right w:type="dxa" w:w="130"/>
            </w:tcMar>
            <w:vAlign w:val="top"/>
          </w:tcPr>
          <w:p>
            <w:pPr>
              <w:spacing w:after="40" w:line="276"/>
            </w:pPr>
            <w:r>
              <w:rPr>
                <w:rFonts w:ascii="Aptos" w:cs="Aptos" w:eastAsia="Aptos" w:hAnsi="Aptos"/>
                <w:b/>
                <w:bCs/>
                <w:color w:val="FFFFFF"/>
                <w:sz w:val="16"/>
                <w:szCs w:val="16"/>
              </w:rPr>
              <w:t xml:space="preserve">Issued / review</w:t>
            </w:r>
          </w:p>
        </w:tc>
        <w:tc>
          <w:tcPr>
            <w:tcW w:type="dxa" w:w="3369"/>
            <w:tcBorders>
              <w:top w:val="single" w:color="000000" w:sz="4"/>
              <w:left w:val="single" w:color="000000" w:sz="4"/>
              <w:bottom w:val="single" w:color="000000" w:sz="4"/>
              <w:right w:val="single" w:color="000000" w:sz="4"/>
            </w:tcBorders>
            <w:tcMar>
              <w:top w:type="dxa" w:w="35"/>
              <w:left w:type="dxa" w:w="130"/>
              <w:bottom w:type="dxa" w:w="35"/>
              <w:right w:type="dxa" w:w="130"/>
            </w:tcMar>
            <w:vAlign w:val="top"/>
          </w:tcPr>
          <w:p>
            <w:pPr>
              <w:spacing w:after="40" w:line="276"/>
            </w:pPr>
            <w:r>
              <w:rPr>
                <w:rFonts w:ascii="Aptos" w:cs="Aptos" w:eastAsia="Aptos" w:hAnsi="Aptos"/>
                <w:sz w:val="16"/>
                <w:szCs w:val="16"/>
              </w:rPr>
              <w:t xml:space="preserve">05/10/2026  /  05/10/2027</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If you only do one thing this week</w:t>
            </w:r>
          </w:p>
          <w:p>
            <w:pPr>
              <w:spacing w:after="80" w:line="276"/>
            </w:pPr>
            <w:r>
              <w:rPr>
                <w:rFonts w:ascii="Aptos" w:cs="Aptos" w:eastAsia="Aptos" w:hAnsi="Aptos"/>
                <w:sz w:val="21"/>
                <w:szCs w:val="21"/>
              </w:rPr>
              <w:t xml:space="preserve">Open the tracker and send </w:t>
            </w:r>
            <w:r>
              <w:rPr>
                <w:rFonts w:ascii="Aptos" w:cs="Aptos" w:eastAsia="Aptos" w:hAnsi="Aptos"/>
                <w:b/>
                <w:bCs/>
                <w:sz w:val="21"/>
                <w:szCs w:val="21"/>
              </w:rPr>
              <w:t xml:space="preserve">one</w:t>
            </w:r>
            <w:r>
              <w:rPr>
                <w:rFonts w:ascii="Aptos" w:cs="Aptos" w:eastAsia="Aptos" w:hAnsi="Aptos"/>
                <w:sz w:val="21"/>
                <w:szCs w:val="21"/>
              </w:rPr>
              <w:t xml:space="preserve"> follow-up email. That is a win. Everything else on this card is a bonus.</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Monday – 15 minutes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4  ·  Every Monday  ·  Owner or office lead</w:t>
      </w:r>
    </w:p>
    <w:p>
      <w:pPr>
        <w:keepNext/>
        <w:spacing w:after="60" w:before="0" w:line="300"/>
      </w:pPr>
      <w:r>
        <w:rPr>
          <w:rFonts w:ascii="Aptos" w:cs="Aptos" w:eastAsia="Aptos" w:hAnsi="Aptos"/>
          <w:sz w:val="19"/>
          <w:szCs w:val="19"/>
        </w:rPr>
        <w:t xml:space="preserve">Set a 15-minute timer. Work down the list. Stop when it rings, even if you are not finished.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500"/>
        <w:gridCol w:w="5738"/>
        <w:gridCol w:w="2500"/>
      </w:tblGrid>
      <w:tr>
        <w:trPr>
          <w:cantSplit/>
        </w:trPr>
        <w:tc>
          <w:tcPr>
            <w:tcW w:type="dxa" w:w="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8"/>
                <w:szCs w:val="18"/>
              </w:rPr>
              <w:t xml:space="preserve">Time</w:t>
            </w:r>
          </w:p>
        </w:tc>
        <w:tc>
          <w:tcPr>
            <w:tcW w:type="dxa" w:w="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8"/>
                <w:szCs w:val="18"/>
              </w:rPr>
              <w:t xml:space="preserve">✓</w:t>
            </w:r>
          </w:p>
        </w:tc>
        <w:tc>
          <w:tcPr>
            <w:tcW w:type="dxa" w:w="57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Do this</w:t>
            </w:r>
          </w:p>
        </w:tc>
        <w:tc>
          <w:tcPr>
            <w:tcW w:type="dxa" w:w="2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Where / how</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2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Check the tracker.</w:t>
            </w:r>
            <w:r>
              <w:rPr>
                <w:rFonts w:ascii="Aptos" w:cs="Aptos" w:eastAsia="Aptos" w:hAnsi="Aptos"/>
                <w:sz w:val="18"/>
                <w:szCs w:val="18"/>
              </w:rPr>
              <w:t xml:space="preserve"> Look at "Next action due" and pick this week’s 3 follow-ups and 1 quote to chase.</w:t>
            </w:r>
          </w:p>
        </w:tc>
        <w:tc>
          <w:tcPr>
            <w:tcW w:type="dxa" w:w="2500"/>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BD-04: sort by next action</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4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Send 3 follow-ups.</w:t>
            </w:r>
            <w:r>
              <w:rPr>
                <w:rFonts w:ascii="Aptos" w:cs="Aptos" w:eastAsia="Aptos" w:hAnsi="Aptos"/>
                <w:sz w:val="18"/>
                <w:szCs w:val="18"/>
              </w:rPr>
              <w:t xml:space="preserve"> Copy, tweak the name and one line, send.</w:t>
            </w:r>
          </w:p>
        </w:tc>
        <w:tc>
          <w:tcPr>
            <w:tcW w:type="dxa" w:w="25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BD-03 follow-up 1 or 2</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3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Send 1 new introduction</w:t>
            </w:r>
            <w:r>
              <w:rPr>
                <w:rFonts w:ascii="Aptos" w:cs="Aptos" w:eastAsia="Aptos" w:hAnsi="Aptos"/>
                <w:sz w:val="18"/>
                <w:szCs w:val="18"/>
              </w:rPr>
              <w:t xml:space="preserve"> to a business on your target list.</w:t>
            </w:r>
          </w:p>
        </w:tc>
        <w:tc>
          <w:tcPr>
            <w:tcW w:type="dxa" w:w="2500"/>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BD-03 sector email; log the source</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2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Chase 1 quote</w:t>
            </w:r>
            <w:r>
              <w:rPr>
                <w:rFonts w:ascii="Aptos" w:cs="Aptos" w:eastAsia="Aptos" w:hAnsi="Aptos"/>
                <w:sz w:val="18"/>
                <w:szCs w:val="18"/>
              </w:rPr>
              <w:t xml:space="preserve"> that has had no reply for 7 days or more.</w:t>
            </w:r>
          </w:p>
        </w:tc>
        <w:tc>
          <w:tcPr>
            <w:tcW w:type="dxa" w:w="25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BD-03 quote chaser; ACP-08</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2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Ask 1 customer for a review</w:t>
            </w:r>
            <w:r>
              <w:rPr>
                <w:rFonts w:ascii="Aptos" w:cs="Aptos" w:eastAsia="Aptos" w:hAnsi="Aptos"/>
                <w:sz w:val="18"/>
                <w:szCs w:val="18"/>
              </w:rPr>
              <w:t xml:space="preserve">: the next finished job on the list, whatever you think they will say.</w:t>
            </w:r>
          </w:p>
        </w:tc>
        <w:tc>
          <w:tcPr>
            <w:tcW w:type="dxa" w:w="2500"/>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BD-03 thank-you email</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2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Run 1 saved tender search</w:t>
            </w:r>
            <w:r>
              <w:rPr>
                <w:rFonts w:ascii="Aptos" w:cs="Aptos" w:eastAsia="Aptos" w:hAnsi="Aptos"/>
                <w:sz w:val="18"/>
                <w:szCs w:val="18"/>
              </w:rPr>
              <w:t xml:space="preserve"> and note anything worth a look.</w:t>
            </w:r>
          </w:p>
        </w:tc>
        <w:tc>
          <w:tcPr>
            <w:tcW w:type="dxa" w:w="25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Find a Tender or regional portal</w:t>
            </w:r>
          </w:p>
        </w:tc>
      </w:tr>
    </w:tbl>
    <w:p>
      <w:pPr>
        <w:spacing w:after="100"/>
      </w:pPr>
    </w:p>
    <w:p>
      <w:pPr>
        <w:spacing w:after="0" w:before="0" w:line="300"/>
      </w:pPr>
      <w:r>
        <w:rPr>
          <w:rFonts w:ascii="Aptos" w:cs="Aptos" w:eastAsia="Aptos" w:hAnsi="Aptos"/>
          <w:b/>
          <w:bCs/>
          <w:color w:val="595959"/>
          <w:sz w:val="17"/>
          <w:szCs w:val="17"/>
        </w:rPr>
        <w:t xml:space="preserve">Why "the next finished job"?</w:t>
      </w:r>
      <w:r>
        <w:rPr>
          <w:rFonts w:ascii="Aptos" w:cs="Aptos" w:eastAsia="Aptos" w:hAnsi="Aptos"/>
          <w:color w:val="595959"/>
          <w:sz w:val="17"/>
          <w:szCs w:val="17"/>
        </w:rPr>
        <w:t xml:space="preserve"> Asking only the customers you think are happy is cherry picking. The CMA says it can mislead, and Google bans it.</w:t>
      </w: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Weekly tick grid</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4  ·  13 weeks  ·  Win! = any reply, visit, quote or job it brought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206"/>
        <w:gridCol w:w="1206"/>
        <w:gridCol w:w="1206"/>
        <w:gridCol w:w="1206"/>
        <w:gridCol w:w="1206"/>
        <w:gridCol w:w="1206"/>
        <w:gridCol w:w="902"/>
      </w:tblGrid>
      <w:tr>
        <w:trPr>
          <w:cantSplit/>
          <w:tblHeader/>
        </w:trPr>
        <w:tc>
          <w:tcPr>
            <w:tcW w:type="dxa" w:w="1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6"/>
                <w:szCs w:val="16"/>
              </w:rPr>
              <w:t xml:space="preserve">Week starting</w:t>
            </w:r>
          </w:p>
        </w:tc>
        <w:tc>
          <w:tcPr>
            <w:tcW w:type="dxa" w:w="1206"/>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5"/>
                <w:szCs w:val="15"/>
              </w:rPr>
              <w:t xml:space="preserve">Tracker</w:t>
            </w:r>
          </w:p>
        </w:tc>
        <w:tc>
          <w:tcPr>
            <w:tcW w:type="dxa" w:w="1206"/>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5"/>
                <w:szCs w:val="15"/>
              </w:rPr>
              <w:t xml:space="preserve">3 follow-ups</w:t>
            </w:r>
          </w:p>
        </w:tc>
        <w:tc>
          <w:tcPr>
            <w:tcW w:type="dxa" w:w="1206"/>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5"/>
                <w:szCs w:val="15"/>
              </w:rPr>
              <w:t xml:space="preserve">1 new intro</w:t>
            </w:r>
          </w:p>
        </w:tc>
        <w:tc>
          <w:tcPr>
            <w:tcW w:type="dxa" w:w="1206"/>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5"/>
                <w:szCs w:val="15"/>
              </w:rPr>
              <w:t xml:space="preserve">1 quote chased</w:t>
            </w:r>
          </w:p>
        </w:tc>
        <w:tc>
          <w:tcPr>
            <w:tcW w:type="dxa" w:w="1206"/>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5"/>
                <w:szCs w:val="15"/>
              </w:rPr>
              <w:t xml:space="preserve">1 review ask</w:t>
            </w:r>
          </w:p>
        </w:tc>
        <w:tc>
          <w:tcPr>
            <w:tcW w:type="dxa" w:w="1206"/>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5"/>
                <w:szCs w:val="15"/>
              </w:rPr>
              <w:t xml:space="preserve">1 tender search</w:t>
            </w:r>
          </w:p>
        </w:tc>
        <w:tc>
          <w:tcPr>
            <w:tcW w:type="dxa" w:w="902"/>
            <w:tcBorders>
              <w:top w:val="single" w:color="000000" w:sz="4"/>
              <w:left w:val="single" w:color="000000" w:sz="4"/>
              <w:bottom w:val="single" w:color="000000" w:sz="4"/>
              <w:right w:val="single" w:color="000000" w:sz="4"/>
            </w:tcBorders>
            <w:shd w:fill="5C3566"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5"/>
                <w:szCs w:val="15"/>
              </w:rPr>
              <w:t xml:space="preserve">Win!</w:t>
            </w:r>
          </w:p>
        </w:tc>
      </w:tr>
      <w:tr>
        <w:trPr>
          <w:cantSplit/>
          <w:trHeight w:val="270" w:hRule="atLeast"/>
        </w:trPr>
        <w:tc>
          <w:tcPr>
            <w:tcW w:type="dxa" w:w="1500"/>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shd w:fill="F3EFF7" w:color="auto" w:val="clear"/>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r>
        <w:trPr>
          <w:cantSplit/>
          <w:trHeight w:val="270" w:hRule="atLeast"/>
        </w:trPr>
        <w:tc>
          <w:tcPr>
            <w:tcW w:type="dxa" w:w="1500"/>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1206"/>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jc w:val="center"/>
            </w:pPr>
            <w:r>
              <w:rPr>
                <w:rFonts w:ascii="Aptos" w:cs="Aptos" w:eastAsia="Aptos" w:hAnsi="Aptos"/>
                <w:sz w:val="18"/>
                <w:szCs w:val="18"/>
              </w:rPr>
              <w:t xml:space="preserve">☐</w:t>
            </w:r>
          </w:p>
        </w:tc>
        <w:tc>
          <w:tcPr>
            <w:tcW w:type="dxa" w:w="902"/>
            <w:tcBorders>
              <w:top w:val="single" w:color="000000" w:sz="4"/>
              <w:left w:val="single" w:color="000000" w:sz="4"/>
              <w:bottom w:val="single" w:color="000000" w:sz="4"/>
              <w:right w:val="single" w:color="000000" w:sz="4"/>
            </w:tcBorders>
            <w:tcMar>
              <w:top w:type="dxa" w:w="0"/>
              <w:left w:type="dxa" w:w="130"/>
              <w:bottom w:type="dxa" w:w="0"/>
              <w:right w:type="dxa" w:w="130"/>
            </w:tcMar>
            <w:vAlign w:val="top"/>
          </w:tcPr>
          <w:p>
            <w:pPr>
              <w:spacing w:after="40" w:line="276"/>
            </w:pPr>
            <w:r>
              <w:rPr>
                <w:rFonts w:ascii="Aptos" w:cs="Aptos" w:eastAsia="Aptos" w:hAnsi="Aptos"/>
                <w:sz w:val="16"/>
                <w:szCs w:val="16"/>
              </w:rPr>
              <w:t xml:space="preserve"/>
            </w:r>
          </w:p>
        </w:tc>
      </w:tr>
    </w:tbl>
    <w:p>
      <w:pPr>
        <w:spacing w:after="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Monthly 30-minute review</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4  ·  First Monday of the month  ·  Owner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500"/>
        <w:gridCol w:w="5738"/>
        <w:gridCol w:w="2500"/>
      </w:tblGrid>
      <w:tr>
        <w:trPr>
          <w:cantSplit/>
        </w:trPr>
        <w:tc>
          <w:tcPr>
            <w:tcW w:type="dxa" w:w="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8"/>
                <w:szCs w:val="18"/>
              </w:rPr>
              <w:t xml:space="preserve">Time</w:t>
            </w:r>
          </w:p>
        </w:tc>
        <w:tc>
          <w:tcPr>
            <w:tcW w:type="dxa" w:w="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18"/>
                <w:szCs w:val="18"/>
              </w:rPr>
              <w:t xml:space="preserve">✓</w:t>
            </w:r>
          </w:p>
        </w:tc>
        <w:tc>
          <w:tcPr>
            <w:tcW w:type="dxa" w:w="57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Do this</w:t>
            </w:r>
          </w:p>
        </w:tc>
        <w:tc>
          <w:tcPr>
            <w:tcW w:type="dxa" w:w="2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Where / how</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5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Count it up:</w:t>
            </w:r>
            <w:r>
              <w:rPr>
                <w:rFonts w:ascii="Aptos" w:cs="Aptos" w:eastAsia="Aptos" w:hAnsi="Aptos"/>
                <w:sz w:val="18"/>
                <w:szCs w:val="18"/>
              </w:rPr>
              <w:t xml:space="preserve"> enquiries, quotes, wins, sources.</w:t>
            </w:r>
          </w:p>
        </w:tc>
        <w:tc>
          <w:tcPr>
            <w:tcW w:type="dxa" w:w="2500"/>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BD-04 summary tab</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5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Win rate:</w:t>
            </w:r>
            <w:r>
              <w:rPr>
                <w:rFonts w:ascii="Aptos" w:cs="Aptos" w:eastAsia="Aptos" w:hAnsi="Aptos"/>
                <w:sz w:val="18"/>
                <w:szCs w:val="18"/>
              </w:rPr>
              <w:t xml:space="preserve"> jobs won ÷ quotes sent × 100. Best source?</w:t>
            </w:r>
          </w:p>
        </w:tc>
        <w:tc>
          <w:tcPr>
            <w:tcW w:type="dxa" w:w="25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color w:val="FF0000"/>
                <w:sz w:val="16"/>
                <w:szCs w:val="16"/>
              </w:rPr>
              <w:t xml:space="preserve">[  ]</w:t>
            </w:r>
            <w:r>
              <w:rPr>
                <w:rFonts w:ascii="Aptos" w:cs="Aptos" w:eastAsia="Aptos" w:hAnsi="Aptos"/>
                <w:color w:val="595959"/>
                <w:sz w:val="16"/>
                <w:szCs w:val="16"/>
              </w:rPr>
              <w:t xml:space="preserve"> %   Best: </w:t>
            </w:r>
            <w:r>
              <w:rPr>
                <w:rFonts w:ascii="Aptos" w:cs="Aptos" w:eastAsia="Aptos" w:hAnsi="Aptos"/>
                <w:color w:val="FF0000"/>
                <w:sz w:val="16"/>
                <w:szCs w:val="16"/>
              </w:rPr>
              <w:t xml:space="preserve">[  ]</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5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Clean the list:</w:t>
            </w:r>
            <w:r>
              <w:rPr>
                <w:rFonts w:ascii="Aptos" w:cs="Aptos" w:eastAsia="Aptos" w:hAnsi="Aptos"/>
                <w:sz w:val="18"/>
                <w:szCs w:val="18"/>
              </w:rPr>
              <w:t xml:space="preserve"> opt-outs onto the suppression list.</w:t>
            </w:r>
          </w:p>
        </w:tc>
        <w:tc>
          <w:tcPr>
            <w:tcW w:type="dxa" w:w="2500"/>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Suppression list tab</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5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Renewals:</w:t>
            </w:r>
            <w:r>
              <w:rPr>
                <w:rFonts w:ascii="Aptos" w:cs="Aptos" w:eastAsia="Aptos" w:hAnsi="Aptos"/>
                <w:sz w:val="18"/>
                <w:szCs w:val="18"/>
              </w:rPr>
              <w:t xml:space="preserve"> anything due in the next 90 days?</w:t>
            </w:r>
          </w:p>
        </w:tc>
        <w:tc>
          <w:tcPr>
            <w:tcW w:type="dxa" w:w="25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Compliance Register</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5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Reputation:</w:t>
            </w:r>
            <w:r>
              <w:rPr>
                <w:rFonts w:ascii="Aptos" w:cs="Aptos" w:eastAsia="Aptos" w:hAnsi="Aptos"/>
                <w:sz w:val="18"/>
                <w:szCs w:val="18"/>
              </w:rPr>
              <w:t xml:space="preserve"> reply to reviews; pick 1 case study.</w:t>
            </w:r>
          </w:p>
        </w:tc>
        <w:tc>
          <w:tcPr>
            <w:tcW w:type="dxa" w:w="2500"/>
            <w:tcBorders>
              <w:top w:val="single" w:color="000000" w:sz="4"/>
              <w:left w:val="single" w:color="000000" w:sz="4"/>
              <w:bottom w:val="single" w:color="000000" w:sz="4"/>
              <w:right w:val="single" w:color="000000" w:sz="4"/>
            </w:tcBorders>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BD-07, with permission</w:t>
            </w:r>
          </w:p>
        </w:tc>
      </w:tr>
      <w:tr>
        <w:trPr>
          <w:cantSplit/>
        </w:trPr>
        <w:tc>
          <w:tcPr>
            <w:tcW w:type="dxa" w:w="90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18"/>
                <w:szCs w:val="18"/>
              </w:rPr>
              <w:t xml:space="preserve">5 min</w:t>
            </w:r>
          </w:p>
        </w:tc>
        <w:tc>
          <w:tcPr>
            <w:tcW w:type="dxa" w:w="500"/>
            <w:tcBorders>
              <w:top w:val="single" w:color="000000" w:sz="4"/>
              <w:left w:val="single" w:color="000000" w:sz="4"/>
              <w:bottom w:val="single" w:color="000000" w:sz="4"/>
              <w:right w:val="single" w:color="000000" w:sz="4"/>
            </w:tcBorders>
            <w:tcMar>
              <w:top w:type="dxa" w:w="20"/>
              <w:left w:type="dxa" w:w="40"/>
              <w:bottom w:type="dxa" w:w="20"/>
              <w:right w:type="dxa" w:w="40"/>
            </w:tcMar>
            <w:vAlign w:val="center"/>
          </w:tcPr>
          <w:p>
            <w:pPr>
              <w:spacing w:after="40" w:line="276"/>
              <w:jc w:val="center"/>
            </w:pPr>
            <w:r>
              <w:rPr>
                <w:rFonts w:ascii="Aptos" w:cs="Aptos" w:eastAsia="Aptos" w:hAnsi="Aptos"/>
                <w:sz w:val="26"/>
                <w:szCs w:val="26"/>
              </w:rPr>
              <w:t xml:space="preserve">☐</w:t>
            </w:r>
          </w:p>
        </w:tc>
        <w:tc>
          <w:tcPr>
            <w:tcW w:type="dxa" w:w="5738"/>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b/>
                <w:bCs/>
                <w:sz w:val="18"/>
                <w:szCs w:val="18"/>
              </w:rPr>
              <w:t xml:space="preserve">Next month:</w:t>
            </w:r>
            <w:r>
              <w:rPr>
                <w:rFonts w:ascii="Aptos" w:cs="Aptos" w:eastAsia="Aptos" w:hAnsi="Aptos"/>
                <w:sz w:val="18"/>
                <w:szCs w:val="18"/>
              </w:rPr>
              <w:t xml:space="preserve"> one sector and 10 new targets.</w:t>
            </w:r>
          </w:p>
        </w:tc>
        <w:tc>
          <w:tcPr>
            <w:tcW w:type="dxa" w:w="25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center"/>
          </w:tcPr>
          <w:p>
            <w:pPr>
              <w:spacing w:after="40" w:line="276"/>
            </w:pPr>
            <w:r>
              <w:rPr>
                <w:rFonts w:ascii="Aptos" w:cs="Aptos" w:eastAsia="Aptos" w:hAnsi="Aptos"/>
                <w:color w:val="595959"/>
                <w:sz w:val="16"/>
                <w:szCs w:val="16"/>
              </w:rPr>
              <w:t xml:space="preserve">Sector: </w:t>
            </w:r>
            <w:r>
              <w:rPr>
                <w:rFonts w:ascii="Aptos" w:cs="Aptos" w:eastAsia="Aptos" w:hAnsi="Aptos"/>
                <w:color w:val="FF0000"/>
                <w:sz w:val="16"/>
                <w:szCs w:val="16"/>
              </w:rPr>
              <w:t xml:space="preserve">[  ]</w:t>
            </w:r>
          </w:p>
        </w:tc>
      </w:tr>
    </w:tbl>
    <w:p>
      <w:pPr>
        <w:spacing w:after="10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Stuck? Do this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4  ·  When you cannot get started  ·  Anyone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2062"/>
        <w:gridCol w:w="1150"/>
        <w:gridCol w:w="2062"/>
        <w:gridCol w:w="1150"/>
        <w:gridCol w:w="2062"/>
      </w:tblGrid>
      <w:tr>
        <w:trPr>
          <w:cantSplit/>
        </w:trPr>
        <w:tc>
          <w:tcPr>
            <w:tcW w:type="dxa" w:w="115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7"/>
                <w:szCs w:val="17"/>
              </w:rPr>
              <w:t xml:space="preserve">Cannot start?</w:t>
            </w:r>
          </w:p>
        </w:tc>
        <w:tc>
          <w:tcPr>
            <w:tcW w:type="dxa" w:w="2062"/>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7"/>
                <w:szCs w:val="17"/>
              </w:rPr>
              <w:t xml:space="preserve">Set a 2-minute timer. Just open the tracker.</w:t>
            </w:r>
          </w:p>
        </w:tc>
        <w:tc>
          <w:tcPr>
            <w:tcW w:type="dxa" w:w="115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7"/>
                <w:szCs w:val="17"/>
              </w:rPr>
              <w:t xml:space="preserve">Blank page?</w:t>
            </w:r>
          </w:p>
        </w:tc>
        <w:tc>
          <w:tcPr>
            <w:tcW w:type="dxa" w:w="2062"/>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7"/>
                <w:szCs w:val="17"/>
              </w:rPr>
              <w:t xml:space="preserve">Use the template as it is. Sent beats perfect.</w:t>
            </w:r>
          </w:p>
        </w:tc>
        <w:tc>
          <w:tcPr>
            <w:tcW w:type="dxa" w:w="115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7"/>
                <w:szCs w:val="17"/>
              </w:rPr>
              <w:t xml:space="preserve">Too much on?</w:t>
            </w:r>
          </w:p>
        </w:tc>
        <w:tc>
          <w:tcPr>
            <w:tcW w:type="dxa" w:w="2062"/>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7"/>
                <w:szCs w:val="17"/>
              </w:rPr>
              <w:t xml:space="preserve">One email a day, Monday to Friday, instead.</w:t>
            </w:r>
          </w:p>
        </w:tc>
      </w:tr>
      <w:tr>
        <w:trPr>
          <w:cantSplit/>
        </w:trPr>
        <w:tc>
          <w:tcPr>
            <w:tcW w:type="dxa" w:w="115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7"/>
                <w:szCs w:val="17"/>
              </w:rPr>
              <w:t xml:space="preserve">Putting it off?</w:t>
            </w:r>
          </w:p>
        </w:tc>
        <w:tc>
          <w:tcPr>
            <w:tcW w:type="dxa" w:w="2062"/>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7"/>
                <w:szCs w:val="17"/>
              </w:rPr>
              <w:t xml:space="preserve">Body double: do it next to a colleague or online.</w:t>
            </w:r>
          </w:p>
        </w:tc>
        <w:tc>
          <w:tcPr>
            <w:tcW w:type="dxa" w:w="115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7"/>
                <w:szCs w:val="17"/>
              </w:rPr>
              <w:t xml:space="preserve">Lost track?</w:t>
            </w:r>
          </w:p>
        </w:tc>
        <w:tc>
          <w:tcPr>
            <w:tcW w:type="dxa" w:w="2062"/>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7"/>
                <w:szCs w:val="17"/>
              </w:rPr>
              <w:t xml:space="preserve">Whiteboard: Contacted › Talking › Quoted › Won.</w:t>
            </w:r>
          </w:p>
        </w:tc>
        <w:tc>
          <w:tcPr>
            <w:tcW w:type="dxa" w:w="115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7"/>
                <w:szCs w:val="17"/>
              </w:rPr>
              <w:t xml:space="preserve">Missed a week?</w:t>
            </w:r>
          </w:p>
        </w:tc>
        <w:tc>
          <w:tcPr>
            <w:tcW w:type="dxa" w:w="2062"/>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7"/>
                <w:szCs w:val="17"/>
              </w:rPr>
              <w:t xml:space="preserve">No catch-up. Do this Monday. Did it? Celebrate.</w:t>
            </w:r>
          </w:p>
        </w:tc>
      </w:tr>
    </w:tbl>
    <w:p>
      <w:pPr>
        <w:pageBreakBefore/>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Notes for the business owner (pages 3 onwards – do not laminate) – remove before issue</w:t>
            </w:r>
          </w:p>
          <w:p>
            <w:pPr>
              <w:spacing w:after="80" w:line="276"/>
            </w:pPr>
            <w:r>
              <w:rPr>
                <w:rFonts w:ascii="Aptos" w:cs="Aptos" w:eastAsia="Aptos" w:hAnsi="Aptos"/>
                <w:b/>
                <w:bCs/>
                <w:sz w:val="21"/>
                <w:szCs w:val="21"/>
              </w:rPr>
              <w:t xml:space="preserve">How to use this card.</w:t>
            </w:r>
            <w:r>
              <w:rPr>
                <w:rFonts w:ascii="Aptos" w:cs="Aptos" w:eastAsia="Aptos" w:hAnsi="Aptos"/>
                <w:sz w:val="21"/>
                <w:szCs w:val="21"/>
              </w:rPr>
              <w:t xml:space="preserve"> Fill in the </w:t>
            </w:r>
            <w:r>
              <w:rPr>
                <w:rFonts w:ascii="Aptos" w:cs="Aptos" w:eastAsia="Aptos" w:hAnsi="Aptos"/>
                <w:color w:val="FF0000"/>
                <w:sz w:val="21"/>
                <w:szCs w:val="21"/>
              </w:rPr>
              <w:t xml:space="preserve">[red]</w:t>
            </w:r>
            <w:r>
              <w:rPr>
                <w:rFonts w:ascii="Aptos" w:cs="Aptos" w:eastAsia="Aptos" w:hAnsi="Aptos"/>
                <w:sz w:val="21"/>
                <w:szCs w:val="21"/>
              </w:rPr>
              <w:t xml:space="preserve"> items (your Monday time, the month’s focus sector), then print pages 1 and 2 back to back. Keep the tracker (ARB-BD-04) as the real record: the card is the prompt, the tracker is the evidence.</w:t>
            </w:r>
          </w:p>
          <w:p>
            <w:pPr>
              <w:spacing w:after="80" w:line="276"/>
            </w:pPr>
            <w:r>
              <w:rPr>
                <w:rFonts w:ascii="Aptos" w:cs="Aptos" w:eastAsia="Aptos" w:hAnsi="Aptos"/>
                <w:b/>
                <w:bCs/>
                <w:sz w:val="21"/>
                <w:szCs w:val="21"/>
              </w:rPr>
              <w:t xml:space="preserve">Why it is built this way.</w:t>
            </w:r>
            <w:r>
              <w:rPr>
                <w:rFonts w:ascii="Aptos" w:cs="Aptos" w:eastAsia="Aptos" w:hAnsi="Aptos"/>
                <w:sz w:val="21"/>
                <w:szCs w:val="21"/>
              </w:rPr>
              <w:t xml:space="preserve"> The steps are small and fixed on purpose. A short routine on a set day is easier to start, and easier to restart after a missed week, than a big monthly sales push. The timings are a guide only.</w:t>
            </w:r>
          </w:p>
          <w:p>
            <w:pPr>
              <w:spacing w:after="80" w:line="276"/>
            </w:pPr>
            <w:r>
              <w:rPr>
                <w:rFonts w:ascii="Aptos" w:cs="Aptos" w:eastAsia="Aptos" w:hAnsi="Aptos"/>
                <w:b/>
                <w:bCs/>
                <w:sz w:val="21"/>
                <w:szCs w:val="21"/>
              </w:rPr>
              <w:t xml:space="preserve">Changed from the brief: "ask 1 happy customer for a review".</w:t>
            </w:r>
            <w:r>
              <w:rPr>
                <w:rFonts w:ascii="Aptos" w:cs="Aptos" w:eastAsia="Aptos" w:hAnsi="Aptos"/>
                <w:sz w:val="21"/>
                <w:szCs w:val="21"/>
              </w:rPr>
              <w:t xml:space="preserve"> This card says "ask the next finished job" instead. The CMA’s fake reviews guidance (CMA208, April 2025, para 4.5) says cherry picking positive reviews, including "encouraging just those who are satisfied to leave reviews", can mislead consumers. Google’s Maps policy bans "selectively soliciting positive reviews" and offering incentives for any review. The fake review rules in the Digital Markets, Competition and Consumers Act 2024 (Schedule 20) apply from 6 April 2025, and the CMA can fine directly. Full rules: ARB-POL-15 and ARB-POL-27. Checked 05/10/2026.</w:t>
            </w:r>
          </w:p>
          <w:p>
            <w:pPr>
              <w:spacing w:after="80" w:line="276"/>
            </w:pPr>
            <w:r>
              <w:rPr>
                <w:rFonts w:ascii="Aptos" w:cs="Aptos" w:eastAsia="Aptos" w:hAnsi="Aptos"/>
                <w:b/>
                <w:bCs/>
                <w:sz w:val="21"/>
                <w:szCs w:val="21"/>
              </w:rPr>
              <w:t xml:space="preserve">Email rules (checked 05/10/2026, ico.org.uk).</w:t>
            </w:r>
            <w:r>
              <w:rPr>
                <w:rFonts w:ascii="Aptos" w:cs="Aptos" w:eastAsia="Aptos" w:hAnsi="Aptos"/>
                <w:sz w:val="21"/>
                <w:szCs w:val="21"/>
              </w:rPr>
              <w:t xml:space="preserve"> Emails to limited companies, LLPs and public bodies do not need prior consent under PECR, but you must say who you are and give an easy way to opt out. Sole traders and most partnerships need consent or the soft opt-in. Named work emails are personal data, so UK GDPR applies. The ICO became the Information Commission on 30 September 2026; its powers and guidance carry on. Details: ARB-BD-02 Section 4.</w:t>
            </w:r>
          </w:p>
          <w:p>
            <w:pPr>
              <w:spacing w:after="80" w:line="276"/>
            </w:pPr>
            <w:r>
              <w:rPr>
                <w:rFonts w:ascii="Aptos" w:cs="Aptos" w:eastAsia="Aptos" w:hAnsi="Aptos"/>
                <w:b/>
                <w:bCs/>
                <w:sz w:val="21"/>
                <w:szCs w:val="21"/>
              </w:rPr>
              <w:t xml:space="preserve">Tender searches.</w:t>
            </w:r>
            <w:r>
              <w:rPr>
                <w:rFonts w:ascii="Aptos" w:cs="Aptos" w:eastAsia="Aptos" w:hAnsi="Aptos"/>
                <w:sz w:val="21"/>
                <w:szCs w:val="21"/>
              </w:rPr>
              <w:t xml:space="preserve"> Public sector notices under the Procurement Act 2023 are on Find a Tender, the Central Digital Platform, including below-threshold notices. Contracts Finder is no longer required for new notices. Scotland, Wales and Northern Ireland have their own portals. See ARB-BD-01.</w:t>
            </w:r>
          </w:p>
          <w:p>
            <w:pPr>
              <w:spacing w:after="80" w:line="276"/>
            </w:pPr>
            <w:r>
              <w:rPr>
                <w:rFonts w:ascii="Aptos" w:cs="Aptos" w:eastAsia="Aptos" w:hAnsi="Aptos"/>
                <w:sz w:val="21"/>
                <w:szCs w:val="21"/>
              </w:rPr>
              <w:t xml:space="preserve">Arborella provides this card as documentation support. It is not legal or marketing advice. Check any legal point that matters to a decision.</w:t>
            </w:r>
          </w:p>
        </w:tc>
      </w:tr>
    </w:tbl>
    <w:p>
      <w:pPr>
        <w:spacing w:after="140"/>
      </w:pPr>
    </w:p>
    <w:p>
      <w:pPr>
        <w:pStyle w:val="Heading2"/>
        <w:keepNext/>
        <w:spacing w:after="100" w:before="20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ARB-BD-01</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Tender Success Guide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ARB-BD-02</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Generation Process</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ARB-BD-03</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Client Introduction and Follow-up Email Templates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ARB-BD-04</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and Tender Tracker (Excel)</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Capability Statement and Case Study Templates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ARB-ACP-08</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Quote to Invoice</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ARB-POL-15 / 27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Customer Care and Complaints Policy; Social Media Policy (reviews)</w:t>
            </w:r>
          </w:p>
        </w:tc>
      </w:tr>
    </w:tbl>
    <w:p>
      <w:pPr>
        <w:spacing w:after="140"/>
      </w:pPr>
    </w:p>
    <w:p>
      <w:pPr>
        <w:pStyle w:val="Heading2"/>
        <w:keepNext/>
        <w:spacing w:after="100" w:before="20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The 15-Minute Weekly Sales Routine (ARB-BD-06)</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Owner</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Status</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At least every 12 months, and sooner if the law, guidance or the way we work changes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05/10/2026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Initial release</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The 15-Minute Weekly Sales Routine  –  ARB-BD-06</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The 15-Minute Weekly Sales Routine  |  </w:t>
    </w:r>
    <w:r>
      <w:rPr>
        <w:rFonts w:ascii="Aptos" w:cs="Aptos" w:eastAsia="Aptos" w:hAnsi="Aptos"/>
        <w:color w:val="7030A0"/>
        <w:sz w:val="16"/>
        <w:szCs w:val="16"/>
      </w:rPr>
      <w:t xml:space="preserve">Arborella OS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15-Minute Weekly Sales Routine</dc:title>
  <dc:creator>Arborella Consultancy Ltd</dc:creator>
  <cp:lastModifiedBy>Un-named</cp:lastModifiedBy>
  <cp:revision>1</cp:revision>
  <dcterms:created xsi:type="dcterms:W3CDTF">2026-10-05T10:51:59.704Z</dcterms:created>
  <dcterms:modified xsi:type="dcterms:W3CDTF">2026-10-05T10:51:59.705Z</dcterms:modified>
</cp:coreProperties>
</file>

<file path=docProps/custom.xml><?xml version="1.0" encoding="utf-8"?>
<Properties xmlns="http://schemas.openxmlformats.org/officeDocument/2006/custom-properties" xmlns:vt="http://schemas.openxmlformats.org/officeDocument/2006/docPropsVTypes"/>
</file>