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  <w:jc w:val="center"/>
      </w:pPr>
      <w:r>
        <w:rPr>
          <w:rFonts w:ascii="Calibri" w:cs="Calibri" w:eastAsia="Calibri" w:hAnsi="Calibri"/>
          <w:b/>
          <w:bCs/>
          <w:color w:val="FF0000"/>
          <w:sz w:val="32"/>
          <w:szCs w:val="32"/>
          <w:u w:val="single"/>
        </w:rPr>
        <w:t xml:space="preserve">[COMPANY NAME Ltd]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365F4A"/>
          <w:sz w:val="36"/>
          <w:szCs w:val="36"/>
        </w:rPr>
        <w:t xml:space="preserve">Environmental Induction Checklist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266"/>
      </w:tblGrid>
      <w:tr>
        <w:trPr>
          <w:cantSplit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AF1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Document reference</w:t>
            </w:r>
          </w:p>
        </w:tc>
        <w:tc>
          <w:tcPr>
            <w:tcW w:type="dxa" w:w="72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ARB-ENV-02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AF1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Version</w:t>
            </w:r>
          </w:p>
        </w:tc>
        <w:tc>
          <w:tcPr>
            <w:tcW w:type="dxa" w:w="72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FF0000"/>
                <w:sz w:val="19"/>
                <w:szCs w:val="19"/>
              </w:rPr>
              <w:t xml:space="preserve">[x.x]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AF1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Date issued</w:t>
            </w:r>
          </w:p>
        </w:tc>
        <w:tc>
          <w:tcPr>
            <w:tcW w:type="dxa" w:w="72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FF0000"/>
                <w:sz w:val="19"/>
                <w:szCs w:val="19"/>
              </w:rPr>
              <w:t xml:space="preserve">[dd/mm/yyyy]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AF1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Next review date</w:t>
            </w:r>
          </w:p>
        </w:tc>
        <w:tc>
          <w:tcPr>
            <w:tcW w:type="dxa" w:w="72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FF0000"/>
                <w:sz w:val="19"/>
                <w:szCs w:val="19"/>
              </w:rPr>
              <w:t xml:space="preserve">[dd/mm/yyyy]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AF1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Document owner</w:t>
            </w:r>
          </w:p>
        </w:tc>
        <w:tc>
          <w:tcPr>
            <w:tcW w:type="dxa" w:w="72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FF0000"/>
                <w:sz w:val="19"/>
                <w:szCs w:val="19"/>
              </w:rPr>
              <w:t xml:space="preserve">[NAME – ROLE]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AF1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Approved by</w:t>
            </w:r>
          </w:p>
        </w:tc>
        <w:tc>
          <w:tcPr>
            <w:tcW w:type="dxa" w:w="72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FF0000"/>
                <w:sz w:val="19"/>
                <w:szCs w:val="19"/>
              </w:rPr>
              <w:t xml:space="preserve">[NAME – Director]</w:t>
            </w:r>
          </w:p>
        </w:tc>
      </w:tr>
    </w:tbl>
    <w:p>
      <w:pPr>
        <w:spacing w:after="120"/>
      </w:pPr>
    </w:p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Purpose</w:t>
      </w:r>
    </w:p>
    <w:p>
      <w:pPr>
        <w:spacing w:after="120" w:before="0" w:line="264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This checklist makes sure everyone who works for us – employees, apprentices, agency workers and subcontractors – understands their environmental responsibilities before they start work. It is part of our Environmental Operations System (ARB-ENV-01).</w:t>
      </w:r>
    </w:p>
    <w:p>
      <w:pPr>
        <w:spacing w:after="60" w:before="0" w:line="264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How to use it:</w:t>
      </w:r>
    </w:p>
    <w:p>
      <w:pPr>
        <w:pStyle w:val="ListParagraph"/>
        <w:numPr>
          <w:ilvl w:val="0"/>
          <w:numId w:val="2"/>
        </w:numPr>
        <w:spacing w:after="60" w:line="252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Go through each topic in person. Use real examples from our work and show people the actual kit (spill kit, drip tray, disinfectant, waste bags).</w:t>
      </w:r>
    </w:p>
    <w:p>
      <w:pPr>
        <w:pStyle w:val="ListParagraph"/>
        <w:numPr>
          <w:ilvl w:val="0"/>
          <w:numId w:val="2"/>
        </w:numPr>
        <w:spacing w:after="60" w:line="252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Tick 'Done' when covered, or 'N/A' where a topic doesn't apply to the person's role (e.g. refuelling for office staff). Both people initial each section.</w:t>
      </w:r>
    </w:p>
    <w:p>
      <w:pPr>
        <w:pStyle w:val="ListParagraph"/>
        <w:numPr>
          <w:ilvl w:val="0"/>
          <w:numId w:val="2"/>
        </w:numPr>
        <w:spacing w:after="60" w:line="252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Ask the understanding check questions at the end. If any answer is unclear, go over that topic again.</w:t>
      </w:r>
    </w:p>
    <w:p>
      <w:pPr>
        <w:pStyle w:val="ListParagraph"/>
        <w:numPr>
          <w:ilvl w:val="0"/>
          <w:numId w:val="2"/>
        </w:numPr>
        <w:spacing w:after="60" w:line="252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Keep the signed checklist with the person's training records and update the Environmental Training Dashboard (ARB-ENV-03).</w:t>
      </w:r>
    </w:p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Person being inducted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2933"/>
        <w:gridCol w:w="2000"/>
        <w:gridCol w:w="2933"/>
      </w:tblGrid>
      <w:tr>
        <w:trPr>
          <w:cantSplit/>
        </w:trPr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Name</w:t>
            </w:r>
          </w:p>
        </w:tc>
        <w:tc>
          <w:tcPr>
            <w:tcW w:type="dxa" w:w="293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Start date</w:t>
            </w:r>
          </w:p>
        </w:tc>
        <w:tc>
          <w:tcPr>
            <w:tcW w:type="dxa" w:w="293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Job title / role</w:t>
            </w:r>
          </w:p>
        </w:tc>
        <w:tc>
          <w:tcPr>
            <w:tcW w:type="dxa" w:w="293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Employment type</w:t>
            </w:r>
          </w:p>
        </w:tc>
        <w:tc>
          <w:tcPr>
            <w:tcW w:type="dxa" w:w="293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Employee  ☐ Apprentice ☐ Agency  ☐ Subcontractor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Crew / Team Leader</w:t>
            </w:r>
          </w:p>
        </w:tc>
        <w:tc>
          <w:tcPr>
            <w:tcW w:type="dxa" w:w="293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Company (if subcontractor)</w:t>
            </w:r>
          </w:p>
        </w:tc>
        <w:tc>
          <w:tcPr>
            <w:tcW w:type="dxa" w:w="293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Nations they will work in</w:t>
            </w:r>
          </w:p>
        </w:tc>
        <w:tc>
          <w:tcPr>
            <w:tcW w:type="dxa" w:w="293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England  ☐ Wales  ☐ Scotland  ☐ Northern Ireland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Induction given by</w:t>
            </w:r>
          </w:p>
        </w:tc>
        <w:tc>
          <w:tcPr>
            <w:tcW w:type="dxa" w:w="293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Section A – Our environmental commitments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5166"/>
        <w:gridCol w:w="1500"/>
        <w:gridCol w:w="900"/>
      </w:tblGrid>
      <w:tr>
        <w:trPr>
          <w:cantSplit/>
          <w:tblHeader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Topic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Key points to cover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Completed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Environmental Policy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What our policy says and why it matters to clients, accreditation bodies and the business. Where to find it.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Your responsibilities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Follow procedures, the site briefing and method statement. Stop and ask if unsure. Everyone can stop work if the environment is at risk.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Raising concerns and ideas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Who to tell (Team Leader, then Manager). How to suggest improvements. No blame for reporting honestly.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Section B – Waste and arisings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5166"/>
        <w:gridCol w:w="1500"/>
        <w:gridCol w:w="900"/>
      </w:tblGrid>
      <w:tr>
        <w:trPr>
          <w:cantSplit/>
          <w:tblHeader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Topic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Key points to cover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Completed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Duty of care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We are responsible for our waste until it is properly dealt with. Waste only goes to authorised sites and carriers. Never fly-tip or leave waste on site unless agreed with the client.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Waste paperwork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Waste carrier registration kept in each vehicle. Waste transfer notes completed and returned to the office (kept for at least 2 years).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Waste hierarchy and segregation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Reduce, reuse (e.g. timber, woodchip for mulch), recycle, then dispose. Keep general waste, recycling and hazardous waste separate.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Hazardous waste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Used oil, oily rags, empty herbicide containers and spill kit waste are hazardous. How we store and dispose of them.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Burning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No burning on site or at the yard unless it has been authorised and the right exemption or permission is in place. No dark smoke or nuisance to neighbours.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Section C – Fuel, oil and spills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5166"/>
        <w:gridCol w:w="1500"/>
        <w:gridCol w:w="900"/>
      </w:tblGrid>
      <w:tr>
        <w:trPr>
          <w:cantSplit/>
          <w:tblHeader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Topic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Key points to cover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Completed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Refuelling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Refuel on a drip tray or spill mat, away from drains and watercourses (company rule: at least </w:t>
            </w:r>
            <w:r>
              <w:rPr>
                <w:rFonts w:ascii="Calibri" w:cs="Calibri" w:eastAsia="Calibri" w:hAnsi="Calibri"/>
                <w:b w:val="false"/>
                <w:bCs w:val="false"/>
                <w:color w:val="FF0000"/>
                <w:sz w:val="19"/>
                <w:szCs w:val="19"/>
              </w:rPr>
              <w:t xml:space="preserve">[10]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 metres). Use the correct fuel can and funnel. Never leave refuelling unattended.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Fuel and oil storage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Where fuel and oil are kept in vehicles and at the yard. Bunds and drip trays, closed and secure containers, locked bowser taps.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Spill kits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Location of the spill kit in every vehicle and at the yard. Show how to use it, including drain covers. Report when used so it can be restocked.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Chain oil and hydraulic leaks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Use </w:t>
            </w:r>
            <w:r>
              <w:rPr>
                <w:rFonts w:ascii="Calibri" w:cs="Calibri" w:eastAsia="Calibri" w:hAnsi="Calibri"/>
                <w:b w:val="false"/>
                <w:bCs w:val="false"/>
                <w:color w:val="FF0000"/>
                <w:sz w:val="19"/>
                <w:szCs w:val="19"/>
              </w:rPr>
              <w:t xml:space="preserve">[biodegradable chain oil]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 where possible. Check machinery for leaks before use and report any found.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Section D – Wildlife and protected species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5166"/>
        <w:gridCol w:w="1500"/>
        <w:gridCol w:w="900"/>
      </w:tblGrid>
      <w:tr>
        <w:trPr>
          <w:cantSplit/>
          <w:tblHeader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Topic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Key points to cover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Completed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Nesting birds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It is an offence to damage or destroy a nest while it is being built or used – at any time of year, not just spring. Check before work. The main nesting season is generally March to August.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Bats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Bat roosts are protected even when bats are not there. Know the signs: holes, splits, cracks, loose bark, dense ivy, woodpecker holes. If you find bats or signs of bats, stop work in that area and tell your Team Leader.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Badgers and other species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Don't damage or block badger setts – take care when stump grinding or using machinery. Look out for other protected species named in the site briefing.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Pre-start checks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Wildlife checks are part of every site briefing. Work does not start until the Team Leader is satisfied it's safe to proceed.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Section E – Biosecurity, tree pests and invasive species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5166"/>
        <w:gridCol w:w="1500"/>
        <w:gridCol w:w="900"/>
      </w:tblGrid>
      <w:tr>
        <w:trPr>
          <w:cantSplit/>
          <w:tblHeader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Topic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Key points to cover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Completed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Keep it Clean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Clean and disinfect saws, cutting tools, boots and kit, and clean vehicles, before moving between sites – especially from sites with known pests or diseases.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Tree pests and diseases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Awareness of ash dieback, oak processionary moth (OPM – irritating hairs, controls on moving oak material) and other notifiable pests. Report suspected cases to your Team Leader.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Invasive plants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Recognise Japanese knotweed, giant hogweed and Himalayan balsam. Don't cut, chip or move them without a plan – they must not be spread.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Reporting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How sightings are reported: TreeAlert in England, Wales and Scotland; TreeCheck in Northern Ireland.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Section F – Trees and legal permissions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5166"/>
        <w:gridCol w:w="1500"/>
        <w:gridCol w:w="900"/>
      </w:tblGrid>
      <w:tr>
        <w:trPr>
          <w:cantSplit/>
          <w:tblHeader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Topic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Key points to cover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Completed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Tree Preservation Orders and conservation areas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Work must not start until the office or Team Leader has confirmed any consent or notice is in place.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Felling licences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Some felling needs a licence. Never fell more than the job sheet says.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Working to the job sheet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Only do the work agreed. If the client asks for extra work on site, check with the office first – the extra tree may be protected.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Section G – Neighbours, noise, dust and smoke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5166"/>
        <w:gridCol w:w="1500"/>
        <w:gridCol w:w="900"/>
      </w:tblGrid>
      <w:tr>
        <w:trPr>
          <w:cantSplit/>
          <w:tblHeader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Topic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Key points to cover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Completed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Noise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Keep to agreed working hours. Switch off machinery when not in use and don't leave engines idling.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Dust, debris and mud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Keep roads, paths and neighbouring property clear. Sweep up and clean before leaving site.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Fuel use and carbon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Plan journeys, avoid idling and report faulty or inefficient machinery – it saves fuel and reduces emissions.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Section H – Environmental incidents and emergencies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5166"/>
        <w:gridCol w:w="1500"/>
        <w:gridCol w:w="900"/>
      </w:tblGrid>
      <w:tr>
        <w:trPr>
          <w:cantSplit/>
          <w:tblHeader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Topic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Key points to cover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Completed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What to do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STOP – CONTAIN – REPORT – CALL – RECORD. Show the flowchart and the spill kit.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Who to tell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Tell your Team Leader straight away. The Team Leader reports pollution to the relevant agency (numbers below).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Near misses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Report near misses as well – e.g. a fuel can left open next to a drain. They help us stop real incidents.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p>
      <w:pPr>
        <w:keepNext w:val="false"/>
        <w:spacing w:after="160" w:before="80"/>
        <w:jc w:val="center"/>
      </w:pPr>
      <w:r>
        <w:drawing>
          <wp:inline distT="0" distB="0" distL="0" distR="0">
            <wp:extent cx="6010275" cy="1666875"/>
            <wp:effectExtent t="0" r="0" b="0" l="0"/>
            <wp:docPr id="1" name="flowchart" descr="Process flowchart" title="Flow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266"/>
      </w:tblGrid>
      <w:tr>
        <w:trPr>
          <w:cantSplit/>
          <w:tblHeader/>
        </w:trP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Nation</w:t>
            </w:r>
          </w:p>
        </w:tc>
        <w:tc>
          <w:tcPr>
            <w:tcW w:type="dxa" w:w="62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Pollution hotline (24 hours)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England, Scotland and Northern Ireland</w:t>
            </w:r>
          </w:p>
        </w:tc>
        <w:tc>
          <w:tcPr>
            <w:tcW w:type="dxa" w:w="62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0800 80 70 60 (in Scotland the overnight line is for urgent, ongoing pollution only)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Wales</w:t>
            </w:r>
          </w:p>
        </w:tc>
        <w:tc>
          <w:tcPr>
            <w:tcW w:type="dxa" w:w="62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0300 065 3000</w:t>
            </w:r>
          </w:p>
        </w:tc>
      </w:tr>
    </w:tbl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Section I – Training going forward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5166"/>
        <w:gridCol w:w="1500"/>
        <w:gridCol w:w="900"/>
      </w:tblGrid>
      <w:tr>
        <w:trPr>
          <w:cantSplit/>
          <w:tblHeader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Topic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Key points to cover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Completed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Site briefings and toolbox talks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Site environmental briefings happen before every job. Environmental toolbox talks run through the year.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Refresher and extra training</w:t>
            </w:r>
          </w:p>
        </w:tc>
        <w:tc>
          <w:tcPr>
            <w:tcW w:type="dxa" w:w="51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When refreshers are due and how they are booked. More training will be given if needed.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9"/>
                <w:szCs w:val="19"/>
              </w:rPr>
              <w:t xml:space="preserve">☐ Done  ☐ N/A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Understanding check</w:t>
      </w:r>
    </w:p>
    <w:p>
      <w:pPr>
        <w:spacing w:after="120" w:before="0" w:line="264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Ask these questions and note the answers. If an answer is unclear, go over the topic again before the person starts work.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  <w:gridCol w:w="4766"/>
        <w:gridCol w:w="900"/>
      </w:tblGrid>
      <w:tr>
        <w:trPr>
          <w:cantSplit/>
          <w:tblHeader/>
        </w:trPr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type="dxa" w:w="47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Answer given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OK?</w:t>
            </w:r>
          </w:p>
        </w:tc>
      </w:tr>
      <w:tr>
        <w:trPr>
          <w:cantSplit/>
          <w:trHeight w:val="600" w:hRule="atLeast"/>
        </w:trPr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You knock over a fuel can and it starts running towards a drain. What do you do?</w:t>
            </w:r>
          </w:p>
        </w:tc>
        <w:tc>
          <w:tcPr>
            <w:tcW w:type="dxa" w:w="47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600" w:hRule="atLeast"/>
        </w:trPr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You spot a bird flying in and out of a hedge you're about to cut. What do you do?</w:t>
            </w:r>
          </w:p>
        </w:tc>
        <w:tc>
          <w:tcPr>
            <w:tcW w:type="dxa" w:w="47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600" w:hRule="atLeast"/>
        </w:trPr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Where is the spill kit in your vehicle, and what's in it?</w:t>
            </w:r>
          </w:p>
        </w:tc>
        <w:tc>
          <w:tcPr>
            <w:tcW w:type="dxa" w:w="47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600" w:hRule="atLeast"/>
        </w:trPr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What do you do with your saw and boots before going to the next site?</w:t>
            </w:r>
          </w:p>
        </w:tc>
        <w:tc>
          <w:tcPr>
            <w:tcW w:type="dxa" w:w="47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☐</w:t>
            </w:r>
          </w:p>
        </w:tc>
      </w:tr>
    </w:tbl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Further training identified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66"/>
        <w:gridCol w:w="2000"/>
        <w:gridCol w:w="2400"/>
      </w:tblGrid>
      <w:tr>
        <w:trPr>
          <w:cantSplit/>
          <w:tblHeader/>
        </w:trPr>
        <w:tc>
          <w:tcPr>
            <w:tcW w:type="dxa" w:w="54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Training needed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Target date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Arranged by</w:t>
            </w:r>
          </w:p>
        </w:tc>
      </w:tr>
      <w:tr>
        <w:trPr>
          <w:cantSplit/>
          <w:trHeight w:val="420" w:hRule="atLeast"/>
        </w:trPr>
        <w:tc>
          <w:tcPr>
            <w:tcW w:type="dxa" w:w="54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  <w:trHeight w:val="420" w:hRule="atLeast"/>
        </w:trPr>
        <w:tc>
          <w:tcPr>
            <w:tcW w:type="dxa" w:w="54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  <w:trHeight w:val="420" w:hRule="atLeast"/>
        </w:trPr>
        <w:tc>
          <w:tcPr>
            <w:tcW w:type="dxa" w:w="54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Questions and comments</w:t>
      </w:r>
    </w:p>
    <w:p>
      <w:pPr>
        <w:spacing w:after="120" w:before="0" w:line="264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☐  The person has had the chance to ask questions.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866"/>
      </w:tblGrid>
      <w:tr>
        <w:trPr>
          <w:cantSplit/>
          <w:trHeight w:val="900" w:hRule="atLeast"/>
        </w:trPr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19"/>
                <w:szCs w:val="19"/>
              </w:rPr>
              <w:t xml:space="preserve">Comments</w:t>
            </w:r>
          </w:p>
        </w:tc>
        <w:tc>
          <w:tcPr>
            <w:tcW w:type="dxa" w:w="78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Declaration</w:t>
      </w:r>
    </w:p>
    <w:p>
      <w:pPr>
        <w:spacing w:after="120" w:before="0" w:line="264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I confirm I have received this environmental induction, I understand my environmental responsibilities, and I will follow the company's environmental procedures and site briefings.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0"/>
        <w:gridCol w:w="3000"/>
        <w:gridCol w:w="1200"/>
        <w:gridCol w:w="2400"/>
        <w:gridCol w:w="900"/>
        <w:gridCol w:w="1366"/>
      </w:tblGrid>
      <w:tr>
        <w:trPr>
          <w:cantSplit/>
          <w:trHeight w:val="500" w:hRule="atLeast"/>
        </w:trPr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Name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Signature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Date</w:t>
            </w:r>
          </w:p>
        </w:tc>
        <w:tc>
          <w:tcPr>
            <w:tcW w:type="dxa" w:w="13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p>
      <w:pPr>
        <w:spacing w:after="80"/>
      </w:pPr>
    </w:p>
    <w:p>
      <w:pPr>
        <w:spacing w:after="60" w:before="0" w:line="264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Induction given by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1900"/>
        <w:gridCol w:w="1000"/>
        <w:gridCol w:w="1500"/>
        <w:gridCol w:w="1050"/>
        <w:gridCol w:w="1500"/>
        <w:gridCol w:w="700"/>
        <w:gridCol w:w="1416"/>
      </w:tblGrid>
      <w:tr>
        <w:trPr>
          <w:cantSplit/>
          <w:trHeight w:val="500" w:hRule="atLeast"/>
        </w:trPr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Name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Position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10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Signature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Date</w:t>
            </w:r>
          </w:p>
        </w:tc>
        <w:tc>
          <w:tcPr>
            <w:tcW w:type="dxa" w:w="141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p>
      <w:pPr>
        <w:spacing w:after="80"/>
      </w:pPr>
    </w:p>
    <w:p>
      <w:pPr>
        <w:spacing w:after="60" w:before="0" w:line="264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Manager verification</w:t>
      </w:r>
    </w:p>
    <w:p>
      <w:pPr>
        <w:spacing w:after="120" w:before="0" w:line="264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☐  I have checked this induction is complete and the Environmental Training Dashboard has been updated.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0"/>
        <w:gridCol w:w="2800"/>
        <w:gridCol w:w="1200"/>
        <w:gridCol w:w="2600"/>
        <w:gridCol w:w="900"/>
        <w:gridCol w:w="1366"/>
      </w:tblGrid>
      <w:tr>
        <w:trPr>
          <w:cantSplit/>
          <w:trHeight w:val="500" w:hRule="atLeast"/>
        </w:trPr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Name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Signature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Date</w:t>
            </w:r>
          </w:p>
        </w:tc>
        <w:tc>
          <w:tcPr>
            <w:tcW w:type="dxa" w:w="13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p>
      <w:pPr>
        <w:spacing w:after="120"/>
      </w:pP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66"/>
      </w:tblGrid>
      <w:tr>
        <w:trPr>
          <w:cantSplit/>
        </w:trPr>
        <w:tc>
          <w:tcPr>
            <w:tcW w:type="dxa" w:w="98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6D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365F4A"/>
                <w:sz w:val="23"/>
                <w:szCs w:val="23"/>
              </w:rPr>
              <w:t xml:space="preserve">What this means for you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52"/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This induction is your chance to learn how we look after the environment on every job – and to ask anything you're not sure about.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52"/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The rules apply all year. A blackbird's nest in a hedge in October is protected just as much as one in May.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52"/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Reporting a spill or near miss straight away will never get you into trouble. Hiding one could cause serious pollution and a fine for the company.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52"/>
            </w:pPr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You're protecting trees, wildlife, rivers and streams, our clients' gardens and the company's reputation. Most of it is simple habits: drip tray, spill kit, clean kit, check first.</w:t>
            </w:r>
          </w:p>
        </w:tc>
      </w:tr>
    </w:tbl>
    <w:p>
      <w:pPr>
        <w:pStyle w:val="Heading1"/>
        <w:keepNext/>
        <w:pBdr>
          <w:top w:val="single" w:color="000000" w:sz="4"/>
          <w:left w:val="single" w:color="000000" w:sz="4"/>
          <w:bottom w:val="single" w:color="000000" w:sz="4"/>
          <w:right w:val="single" w:color="000000" w:sz="4"/>
        </w:pBdr>
        <w:shd w:fill="EAF1ED" w:color="auto" w:val="clear"/>
        <w:spacing w:after="140" w:before="280"/>
        <w:ind w:left="60" w:right="60"/>
      </w:pPr>
      <w:r>
        <w:rPr>
          <w:rFonts w:ascii="Calibri" w:cs="Calibri" w:eastAsia="Calibri" w:hAnsi="Calibri"/>
          <w:b/>
          <w:bCs/>
          <w:color w:val="365F4A"/>
          <w:sz w:val="24"/>
          <w:szCs w:val="24"/>
        </w:rPr>
        <w:t xml:space="preserve">Record of amendments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1700"/>
        <w:gridCol w:w="4466"/>
        <w:gridCol w:w="2200"/>
      </w:tblGrid>
      <w:tr>
        <w:trPr>
          <w:cantSplit/>
          <w:tblHeader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  <w:tc>
          <w:tcPr>
            <w:tcW w:type="dxa" w:w="44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Details of change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365F4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Amended by</w:t>
            </w:r>
          </w:p>
        </w:tc>
      </w:tr>
      <w:tr>
        <w:trPr>
          <w:cantSplit/>
          <w:trHeight w:val="380" w:hRule="atLeast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FF0000"/>
                <w:sz w:val="19"/>
                <w:szCs w:val="19"/>
              </w:rPr>
              <w:t xml:space="preserve">[x.x]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FF0000"/>
                <w:sz w:val="19"/>
                <w:szCs w:val="19"/>
              </w:rPr>
              <w:t xml:space="preserve">[dd/mm/yyyy]</w:t>
            </w:r>
          </w:p>
        </w:tc>
        <w:tc>
          <w:tcPr>
            <w:tcW w:type="dxa" w:w="44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Full review and rewrite: plain-English content, current UK legal requirements checked, nation-specific information added, flowchart(s) and 'What this means for you' guidance added, linked to the environmental document set.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FF0000"/>
                <w:sz w:val="19"/>
                <w:szCs w:val="19"/>
              </w:rPr>
              <w:t xml:space="preserve">[NAME – ROLE]</w:t>
            </w:r>
          </w:p>
        </w:tc>
      </w:tr>
      <w:tr>
        <w:trPr>
          <w:cantSplit/>
          <w:trHeight w:val="380" w:hRule="atLeast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44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  <w:trHeight w:val="380" w:hRule="atLeast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44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  <w:tr>
        <w:trPr>
          <w:cantSplit/>
          <w:trHeight w:val="380" w:hRule="atLeast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44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line="240"/>
            </w:pP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20" w:bottom="900" w:left="102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0000" w:sz="4" w:space="4"/>
      </w:pBdr>
      <w:spacing w:after="0"/>
    </w:pPr>
    <w:r>
      <w:rPr>
        <w:rFonts w:ascii="Calibri" w:cs="Calibri" w:eastAsia="Calibri" w:hAnsi="Calibri"/>
        <w:color w:val="FF0000"/>
        <w:sz w:val="16"/>
        <w:szCs w:val="16"/>
      </w:rPr>
      <w:t xml:space="preserve">[COMPANY NAME] Environmental Induction Checklist – ARB-ENV-02 – Version: [VERSION] – Date issued: [DATE] – Review date: [REVIEW DATE]</w:t>
    </w:r>
  </w:p>
  <w:p>
    <w:pPr>
      <w:tabs>
        <w:tab w:val="right" w:pos="9866"/>
      </w:tabs>
      <w:spacing w:after="0"/>
    </w:pPr>
    <w:r>
      <w:rPr>
        <w:rFonts w:ascii="Calibri" w:cs="Calibri" w:eastAsia="Calibri" w:hAnsi="Calibri"/>
        <w:color w:val="FF0000"/>
        <w:sz w:val="16"/>
        <w:szCs w:val="16"/>
      </w:rPr>
      <w:t xml:space="preserve">Not controlled when printed</w:t>
    </w:r>
    <w:r>
      <w:rPr>
        <w:rFonts w:ascii="Calibri" w:cs="Calibri" w:eastAsia="Calibri" w:hAnsi="Calibri"/>
        <w:sz w:val="16"/>
        <w:szCs w:val="16"/>
      </w:rPr>
      <w:tab/>
    </w:r>
    <w:r>
      <w:rPr>
        <w:rFonts w:ascii="Calibri" w:cs="Calibri" w:eastAsia="Calibri" w:hAnsi="Calibri"/>
        <w:sz w:val="16"/>
        <w:szCs w:val="16"/>
      </w:rPr>
      <w:t xml:space="preserve">Page </w:t>
    </w:r>
    <w:r>
      <w:rPr>
        <w:rFonts w:ascii="Calibri" w:cs="Calibri" w:eastAsia="Calibri" w:hAnsi="Calibri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sz w:val="16"/>
        <w:szCs w:val="16"/>
      </w:rPr>
      <w:t xml:space="preserve"> of </w:t>
    </w:r>
    <w:r>
      <w:rPr>
        <w:rFonts w:ascii="Calibri" w:cs="Calibri" w:eastAsia="Calibri" w:hAnsi="Calibri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866"/>
      </w:tabs>
      <w:spacing w:after="0"/>
    </w:pPr>
    <w:r>
      <w:rPr>
        <w:rFonts w:ascii="Calibri" w:cs="Calibri" w:eastAsia="Calibri" w:hAnsi="Calibri"/>
        <w:color w:val="FF0000"/>
        <w:sz w:val="18"/>
        <w:szCs w:val="18"/>
      </w:rPr>
      <w:t xml:space="preserve">[Insert Company Logo Here]</w:t>
    </w:r>
    <w:r>
      <w:tab/>
    </w:r>
    <w:r>
      <w:rPr>
        <w:rFonts w:ascii="Calibri" w:cs="Calibri" w:eastAsia="Calibri" w:hAnsi="Calibri"/>
        <w:color w:val="7030A0"/>
        <w:sz w:val="16"/>
        <w:szCs w:val="16"/>
      </w:rPr>
      <w:t xml:space="preserve">Environmental Induction Checklist | </w:t>
    </w:r>
    <w:r>
      <w:rPr>
        <w:rFonts w:ascii="Calibri" w:cs="Calibri" w:eastAsia="Calibri" w:hAnsi="Calibri"/>
        <w:color w:val="FF0000"/>
        <w:sz w:val="16"/>
        <w:szCs w:val="16"/>
      </w:rPr>
      <w:t xml:space="preserve">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  <w:lvl w:ilvl="1" w15:tentative="1">
      <w:start w:val="1"/>
      <w:numFmt w:val="bullet"/>
      <w:lvlText w:val="–"/>
      <w:lvlJc w:val="left"/>
      <w:pPr>
        <w:ind w:left="8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365F4A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365F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68792b394cd4478c80eb38023142c2699b58d3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Induction Checklist</dc:title>
  <dc:creator>[Company Name]</dc:creator>
  <cp:lastModifiedBy>Un-named</cp:lastModifiedBy>
  <cp:revision>1</cp:revision>
  <dcterms:created xsi:type="dcterms:W3CDTF">2026-10-04T13:47:27.553Z</dcterms:created>
  <dcterms:modified xsi:type="dcterms:W3CDTF">2026-10-04T13:47:27.553Z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