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RINGWORM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AOS-BIO-05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197362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ngworm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9736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Clinical photograph: US CDC PHIL, public domain.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Ringworm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Dermatophyte fungi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Animal premises, contaminated gates, tools, clothing, surfaces or direct contact with infected animals/people.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bi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Biological agent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Skin contact with infected skin, hair or contaminated materials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Itchy, scaly or ring-shaped rash; scalp or nail infection can occur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Avoid contact with suspect lesions/materials</w:t>
      </w:r>
    </w:p>
    <w:p>
      <w:pPr>
        <w:pStyle w:val="ListBullet"/>
        <w:spacing w:after="60"/>
        <w:ind w:left="340" w:hanging="170"/>
      </w:pPr>
      <w:r>
        <w:t>Wear gloves and cover skin; do not share towels or contaminated PPE</w:t>
      </w:r>
    </w:p>
    <w:p>
      <w:pPr>
        <w:pStyle w:val="ListBullet"/>
        <w:spacing w:after="60"/>
        <w:ind w:left="340" w:hanging="170"/>
      </w:pPr>
      <w:r>
        <w:t>Clean equipment and launder clothing; report symptoms early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3475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exposed skin and avoid scratching</w:t>
      </w:r>
    </w:p>
    <w:p>
      <w:pPr>
        <w:pStyle w:val="ListBullet"/>
        <w:spacing w:after="60"/>
        <w:ind w:left="340" w:hanging="170"/>
      </w:pPr>
      <w:r>
        <w:t>Seek pharmacist/GP advice for suspected ringworm and avoid sharing contaminated items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g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