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pStyle w:val="Title"/>
        <w:spacing w:after="60"/>
        <w:jc w:val="center"/>
      </w:pPr>
      <w:r>
        <w:t>COMPANY - COSHH ASSESSMENT</w:t>
      </w:r>
    </w:p>
    <w:p>
      <w:pPr>
        <w:spacing w:after="60"/>
        <w:jc w:val="center"/>
      </w:pPr>
      <w:r>
        <w:rPr>
          <w:b/>
          <w:color w:val="B87886"/>
          <w:sz w:val="26"/>
        </w:rPr>
        <w:t>JAPANESE KNOTWEED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Assessment status</w:t>
            </w:r>
          </w:p>
        </w:tc>
        <w:tc>
          <w:tcPr>
            <w:tcW w:type="dxa" w:w="532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Document control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Hazard-specific assessment - confirm site exposure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Reference: AOS-BIO-23 | Version: 1.0</w:t>
            </w:r>
          </w:p>
        </w:tc>
      </w:tr>
      <w:tr>
        <w:trPr>
          <w:cantSplit/>
        </w:trPr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Applies to</w:t>
            </w:r>
          </w:p>
        </w:tc>
        <w:tc>
          <w:tcPr>
            <w:tcW w:type="dxa" w:w="5329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Assessment date: ____ / ____ / ______</w:t>
            </w:r>
          </w:p>
        </w:tc>
      </w:tr>
      <w:tr>
        <w:trPr>
          <w:cantSplit/>
        </w:trPr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Arboriculture, forestry, grounds maintenance and outdoor work</w:t>
            </w:r>
          </w:p>
        </w:tc>
        <w:tc>
          <w:tcPr>
            <w:tcW w:type="dxa" w:w="532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date: ____ / ____ / ______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1. Hazard 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833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1.jpe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83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213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28000" cy="1295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2.jpe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0" cy="1295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i/>
          <w:sz w:val="14"/>
        </w:rPr>
        <w:t>Identification photographs retained from supplied SBust reference.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272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Hazard</w:t>
            </w:r>
          </w:p>
        </w:tc>
        <w:tc>
          <w:tcPr>
            <w:tcW w:type="dxa" w:w="793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Details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Common name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Japanese Knotweed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Organism / botanical name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Reynoutria japonica (syn. Fallopia japonica)</w:t>
            </w:r>
          </w:p>
        </w:tc>
      </w:tr>
      <w:tr>
        <w:trPr>
          <w:cantSplit/>
        </w:trPr>
        <w:tc>
          <w:tcPr>
            <w:tcW w:type="dxa" w:w="272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Where encountered</w:t>
            </w:r>
          </w:p>
        </w:tc>
        <w:tc>
          <w:tcPr>
            <w:tcW w:type="dxa" w:w="793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Roadsides, riverbanks, railways, gardens, development sites and disturbed ground.</w:t>
            </w:r>
          </w:p>
        </w:tc>
      </w:tr>
      <w:tr>
        <w:trPr>
          <w:cantSplit/>
        </w:trPr>
        <w:tc>
          <w:tcPr>
            <w:tcW w:type="dxa" w:w="272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Persons potentially exposed</w:t>
            </w:r>
          </w:p>
        </w:tc>
        <w:tc>
          <w:tcPr>
            <w:tcW w:type="dxa" w:w="793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Employees, climbers, grounds staff, trainees/apprentices, contractors, visitors and the public if controls fail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2. Warning symbols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z_invasiv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Biosecurity / spread</w:t>
            </w:r>
          </w:p>
        </w:tc>
      </w:tr>
    </w:tbl>
    <w:p>
      <w:pPr>
        <w:spacing w:after="60"/>
      </w:pPr>
      <w:r>
        <w:t>Naturally occurring biological or plant hazard; chemical CLP pictograms normally do not apply. The symbols used here are workplace warning and PPE symbols.</w:t>
      </w:r>
    </w:p>
    <w:p>
      <w:pPr>
        <w:pStyle w:val="Heading1"/>
        <w:keepNext/>
        <w:pageBreakBefore w:val="0"/>
        <w:spacing w:after="60"/>
      </w:pPr>
      <w:r>
        <w:t>3. Exposure routes and health effects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4309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Exposure routes</w:t>
            </w:r>
          </w:p>
        </w:tc>
        <w:tc>
          <w:tcPr>
            <w:tcW w:type="dxa" w:w="6350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Potential harm</w:t>
            </w:r>
          </w:p>
        </w:tc>
      </w:tr>
      <w:tr>
        <w:trPr>
          <w:cantSplit/>
        </w:trPr>
        <w:tc>
          <w:tcPr>
            <w:tcW w:type="dxa" w:w="4309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Primary hazard is spread through rhizome/stem fragments and contaminated soil; minor sap/plant contact may irritate some skin</w:t>
            </w:r>
          </w:p>
        </w:tc>
        <w:tc>
          <w:tcPr>
            <w:tcW w:type="dxa" w:w="6350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Environmental and legal/reputational harm from causing spread; Cross-contamination via machinery, boots, tools, chip and soil</w:t>
            </w:r>
          </w:p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rPr>
          <w:cantSplit/>
        </w:trPr>
        <w:tc>
          <w:tcPr>
            <w:tcW w:type="dxa" w:w="170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Initial risk</w:t>
            </w:r>
          </w:p>
        </w:tc>
        <w:tc>
          <w:tcPr>
            <w:tcW w:type="dxa" w:w="238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Residual risk after controls</w:t>
            </w:r>
          </w:p>
        </w:tc>
        <w:tc>
          <w:tcPr>
            <w:tcW w:type="dxa" w:w="6576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Health surveillance</w:t>
            </w:r>
          </w:p>
        </w:tc>
      </w:tr>
      <w:tr>
        <w:trPr>
          <w:cantSplit/>
        </w:trPr>
        <w:tc>
          <w:tcPr>
            <w:tcW w:type="dxa" w:w="170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High</w:t>
            </w:r>
          </w:p>
        </w:tc>
        <w:tc>
          <w:tcPr>
            <w:tcW w:type="dxa" w:w="238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Low</w:t>
            </w:r>
          </w:p>
        </w:tc>
        <w:tc>
          <w:tcPr>
            <w:tcW w:type="dxa" w:w="6576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Review need with competent occupational-health advice where exposure is regular, sensitisation is possible or symptoms are reported.</w:t>
            </w:r>
          </w:p>
        </w:tc>
      </w:tr>
    </w:tbl>
    <w:p>
      <w:pPr>
        <w:pStyle w:val="Heading1"/>
        <w:keepNext/>
        <w:pageBreakBefore w:val="0"/>
        <w:spacing w:after="60"/>
      </w:pPr>
      <w:r>
        <w:t>4. Required controls</w:t>
      </w:r>
    </w:p>
    <w:p>
      <w:pPr>
        <w:pStyle w:val="ListBullet"/>
        <w:spacing w:after="60"/>
        <w:ind w:left="340" w:hanging="170"/>
      </w:pPr>
      <w:r>
        <w:t>Check client/site information and survey for this hazard before work. Record presence, extent, affected tasks and controls in the SSRA.</w:t>
      </w:r>
    </w:p>
    <w:p>
      <w:pPr>
        <w:pStyle w:val="ListBullet"/>
        <w:spacing w:after="60"/>
        <w:ind w:left="340" w:hanging="170"/>
      </w:pPr>
      <w:r>
        <w:t>Stop and confirm the site management plan before disturbance</w:t>
      </w:r>
    </w:p>
    <w:p>
      <w:pPr>
        <w:pStyle w:val="ListBullet"/>
        <w:spacing w:after="60"/>
        <w:ind w:left="340" w:hanging="170"/>
      </w:pPr>
      <w:r>
        <w:t>Mark exclusion area; do not flail, chip or move contaminated soil/material without authorised controls</w:t>
      </w:r>
    </w:p>
    <w:p>
      <w:pPr>
        <w:pStyle w:val="ListBullet"/>
        <w:spacing w:after="60"/>
        <w:ind w:left="340" w:hanging="170"/>
      </w:pPr>
      <w:r>
        <w:t>Clean down in a controlled area and use authorised waste routes/carriers where removal is required</w:t>
      </w:r>
    </w:p>
    <w:p>
      <w:pPr>
        <w:pStyle w:val="ListBullet"/>
        <w:spacing w:after="60"/>
        <w:ind w:left="340" w:hanging="170"/>
      </w:pPr>
      <w:r>
        <w:t>Use tools or mechanical methods to avoid direct contact where reasonably practicable. Maintain an exclusion zone where material could spread, project or expose others.</w:t>
      </w:r>
    </w:p>
    <w:p>
      <w:pPr>
        <w:pStyle w:val="ListBullet"/>
        <w:spacing w:after="60"/>
        <w:ind w:left="340" w:hanging="170"/>
      </w:pPr>
      <w:r>
        <w:t>Do not eat, drink or smoke in the exposure area. Keep contaminated PPE/equipment away from vehicles, climbing equipment and welfare areas.</w:t>
      </w:r>
    </w:p>
    <w:p>
      <w:pPr>
        <w:pStyle w:val="ListBullet"/>
        <w:spacing w:after="60"/>
        <w:ind w:left="340" w:hanging="170"/>
      </w:pPr>
      <w:r>
        <w:t>Provide soap-and-water handwashing and clean/decontaminate tools, boots and PPE without spreading contamination.</w:t>
      </w:r>
    </w:p>
    <w:p>
      <w:pPr>
        <w:pStyle w:val="ListBullet"/>
        <w:spacing w:after="60"/>
        <w:ind w:left="340" w:hanging="170"/>
      </w:pPr>
      <w:r>
        <w:t>Stop work and inform the Team Leader if the hazard is unexpected, identification is uncertain or controls cannot be achieved.</w:t>
      </w:r>
    </w:p>
    <w:p>
      <w:pPr>
        <w:pStyle w:val="Heading1"/>
        <w:keepNext/>
        <w:pageBreakBefore w:val="0"/>
        <w:spacing w:after="60"/>
      </w:pPr>
      <w:r>
        <w:t>5. Mandatory / task-selected PPE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glove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gloves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boots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Protective footwear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cover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Coveralls / covered skin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8000" cy="64800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pe_wash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b/>
                <w:sz w:val="14"/>
              </w:rPr>
              <w:t>Hand washing</w:t>
            </w:r>
          </w:p>
        </w:tc>
      </w:tr>
    </w:tbl>
    <w:p>
      <w:pPr>
        <w:spacing w:after="60"/>
      </w:pPr>
      <w:r>
        <w:t>PPE selection must match the task and exposure level. RPE is only effective when correctly selected; tight-fitting RPE requires face-fit testing, a clean-shaven seal, training, inspection and replacement. PPE does not replace avoidance, mechanical control or exclusion.</w:t>
      </w:r>
    </w:p>
    <w:p>
      <w:pPr>
        <w:pStyle w:val="Heading1"/>
        <w:keepNext/>
        <w:pageBreakBefore w:val="0"/>
        <w:spacing w:after="60"/>
      </w:pPr>
      <w:r>
        <w:t>6. Emergency and first aid action</w:t>
      </w:r>
    </w:p>
    <w:p>
      <w:pPr>
        <w:pStyle w:val="ListBullet"/>
        <w:spacing w:after="60"/>
        <w:ind w:left="340" w:hanging="170"/>
      </w:pPr>
      <w:r>
        <w:t>Wash skin/eyes if irritated</w:t>
      </w:r>
    </w:p>
    <w:p>
      <w:pPr>
        <w:pStyle w:val="ListBullet"/>
        <w:spacing w:after="60"/>
        <w:ind w:left="340" w:hanging="170"/>
      </w:pPr>
      <w:r>
        <w:t>Report any accidental cutting, movement or spread immediately and implement containment</w:t>
      </w:r>
    </w:p>
    <w:p>
      <w:pPr>
        <w:pStyle w:val="ListBullet"/>
        <w:spacing w:after="60"/>
        <w:ind w:left="340" w:hanging="170"/>
      </w:pPr>
      <w:r>
        <w:t>Report the exposure, injury, symptoms or near miss promptly and record the site, task, time and suspected agent.</w:t>
      </w:r>
    </w:p>
    <w:p>
      <w:pPr>
        <w:pStyle w:val="ListBullet"/>
        <w:spacing w:after="60"/>
        <w:ind w:left="340" w:hanging="170"/>
      </w:pPr>
      <w:r>
        <w:t>Call 999 for breathing difficulty, collapse, severe allergic reaction, seizures, serious poisoning or other life-threatening symptoms.</w:t>
      </w:r>
    </w:p>
    <w:p>
      <w:pPr>
        <w:pStyle w:val="Heading1"/>
        <w:keepNext/>
        <w:pageBreakBefore w:val="0"/>
        <w:spacing w:after="60"/>
      </w:pPr>
      <w:r>
        <w:t>7. Training, hygiene and review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rPr>
          <w:cantSplit/>
        </w:trPr>
        <w:tc>
          <w:tcPr>
            <w:tcW w:type="dxa" w:w="7597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Required check</w:t>
            </w:r>
          </w:p>
        </w:tc>
        <w:tc>
          <w:tcPr>
            <w:tcW w:type="dxa" w:w="3061"/>
            <w:vAlign w:val="center"/>
            <w:shd w:fill="879B7A"/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Record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Team trained to recognise the hazard and briefed on controls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Site-specific assessment and exclusion arrangements completed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PPE, washing, decontamination and first aid available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Specialist advice / occupational health required</w:t>
            </w:r>
          </w:p>
        </w:tc>
        <w:tc>
          <w:tcPr>
            <w:tcW w:type="dxa" w:w="3061"/>
            <w:vAlign w:val="center"/>
            <w:shd w:fill="EEF3EC"/>
          </w:tcPr>
          <w:p>
            <w:r>
              <w:rPr>
                <w:rFonts w:ascii="Arial" w:hAnsi="Arial"/>
                <w:color w:val="2E3A32"/>
                <w:sz w:val="16"/>
              </w:rPr>
              <w:t>Yes / No / N/A</w:t>
            </w:r>
          </w:p>
        </w:tc>
      </w:tr>
      <w:tr>
        <w:trPr>
          <w:cantSplit/>
        </w:trPr>
        <w:tc>
          <w:tcPr>
            <w:tcW w:type="dxa" w:w="7597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Assessor / date / review date</w:t>
            </w:r>
          </w:p>
        </w:tc>
        <w:tc>
          <w:tcPr>
            <w:tcW w:type="dxa" w:w="3061"/>
            <w:vAlign w:val="center"/>
          </w:tcPr>
          <w:p>
            <w:r>
              <w:rPr>
                <w:rFonts w:ascii="Arial" w:hAnsi="Arial"/>
                <w:color w:val="2E3A32"/>
                <w:sz w:val="16"/>
              </w:rPr>
              <w:t>________________________________________</w:t>
            </w:r>
          </w:p>
        </w:tc>
      </w:tr>
    </w:tbl>
    <w:p>
      <w:pPr>
        <w:spacing w:after="60"/>
      </w:pPr>
      <w:r>
        <w:t>Review at least annually and sooner after an incident, symptom report, new guidance, change in work method, evidence of spread/contamination or concern that controls are ineffective.</w:t>
      </w:r>
    </w:p>
    <w:sectPr w:rsidR="009F7D92" w:rsidRPr="00903FC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F662B2" w14:textId="77777777" w:rsidR="000B3AAA" w:rsidRDefault="000B3AAA" w:rsidP="00903FC9">
      <w:pPr>
        <w:spacing w:after="0" w:line="240" w:lineRule="auto"/>
      </w:pPr>
      <w:r>
        <w:separator/>
      </w:r>
    </w:p>
  </w:endnote>
  <w:endnote w:type="continuationSeparator" w:id="0">
    <w:p w14:paraId="17A34F47" w14:textId="77777777" w:rsidR="000B3AAA" w:rsidRDefault="000B3AAA" w:rsidP="00903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F1713D" w14:textId="77777777" w:rsidR="00903FC9" w:rsidRDefault="00903F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C2D09" w14:textId="6CE00355" w:rsidR="00903FC9" w:rsidRPr="00903FC9" w:rsidRDefault="00903FC9">
    <w:pPr>
      <w:pStyle w:val="Footer"/>
      <w:rPr>
        <w:rFonts w:ascii="Aptos Display" w:hAnsi="Aptos Display"/>
        <w:color w:val="FF0000"/>
        <w:sz w:val="16"/>
        <w:szCs w:val="16"/>
      </w:rPr>
    </w:pPr>
    <w:r w:rsidRPr="0014362F">
      <w:rPr>
        <w:rFonts w:ascii="Aptos Display" w:hAnsi="Aptos Display"/>
        <w:color w:val="FF0000"/>
        <w:sz w:val="16"/>
        <w:szCs w:val="16"/>
      </w:rPr>
      <w:t xml:space="preserve">[COMPANY NAME] – COSHH Assessment – </w:t>
    </w:r>
    <w:r>
      <w:rPr>
        <w:rFonts w:ascii="Aptos Display" w:hAnsi="Aptos Display"/>
        <w:color w:val="FF0000"/>
        <w:sz w:val="16"/>
        <w:szCs w:val="16"/>
      </w:rPr>
      <w:t xml:space="preserve">Biological </w:t>
    </w:r>
    <w:r>
      <w:rPr>
        <w:rFonts w:ascii="Aptos Display" w:hAnsi="Aptos Display"/>
        <w:color w:val="FF0000"/>
        <w:sz w:val="16"/>
        <w:szCs w:val="16"/>
      </w:rPr>
      <w:t>Hazards</w:t>
    </w:r>
    <w:r w:rsidRPr="0014362F">
      <w:rPr>
        <w:rFonts w:ascii="Aptos Display" w:hAnsi="Aptos Display"/>
        <w:color w:val="FF0000"/>
        <w:sz w:val="16"/>
        <w:szCs w:val="16"/>
      </w:rPr>
      <w:t xml:space="preserve"> (Generic) – ARB-COSHH-0</w:t>
    </w:r>
    <w:r>
      <w:rPr>
        <w:rFonts w:ascii="Aptos Display" w:hAnsi="Aptos Display"/>
        <w:color w:val="FF0000"/>
        <w:sz w:val="16"/>
        <w:szCs w:val="16"/>
      </w:rPr>
      <w:t>3</w:t>
    </w:r>
    <w:r w:rsidRPr="0014362F">
      <w:rPr>
        <w:rFonts w:ascii="Aptos Display" w:hAnsi="Aptos Display"/>
        <w:color w:val="FF0000"/>
        <w:sz w:val="16"/>
        <w:szCs w:val="16"/>
      </w:rPr>
      <w:br/>
      <w:t>Version: [VERSION]   Date Issued: [DATE]   Review Date: [REVIEW DATE]</w:t>
    </w:r>
    <w:r w:rsidRPr="0014362F">
      <w:rPr>
        <w:rFonts w:ascii="Aptos Display" w:hAnsi="Aptos Display"/>
        <w:color w:val="FF0000"/>
        <w:sz w:val="16"/>
        <w:szCs w:val="16"/>
      </w:rPr>
      <w:br/>
      <w:t>Not controlled when printed.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91B3F1" w14:textId="77777777" w:rsidR="00903FC9" w:rsidRDefault="00903F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68A4F" w14:textId="77777777" w:rsidR="000B3AAA" w:rsidRDefault="000B3AAA" w:rsidP="00903FC9">
      <w:pPr>
        <w:spacing w:after="0" w:line="240" w:lineRule="auto"/>
      </w:pPr>
      <w:r>
        <w:separator/>
      </w:r>
    </w:p>
  </w:footnote>
  <w:footnote w:type="continuationSeparator" w:id="0">
    <w:p w14:paraId="770D4D6C" w14:textId="77777777" w:rsidR="000B3AAA" w:rsidRDefault="000B3AAA" w:rsidP="00903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5DCB1" w14:textId="77777777" w:rsidR="00903FC9" w:rsidRDefault="00903F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7CF354" w14:textId="77777777" w:rsidR="00903FC9" w:rsidRPr="00050C85" w:rsidRDefault="00903FC9" w:rsidP="00903FC9">
    <w:pPr>
      <w:rPr>
        <w:rFonts w:ascii="Aptos Display" w:hAnsi="Aptos Display"/>
        <w:color w:val="FF0000"/>
        <w:sz w:val="20"/>
        <w:szCs w:val="20"/>
        <w:lang w:val="en-GB"/>
      </w:rPr>
    </w:pPr>
    <w:r w:rsidRPr="00050C85">
      <w:rPr>
        <w:rFonts w:ascii="Aptos Display" w:hAnsi="Aptos Display"/>
        <w:color w:val="FF0000"/>
        <w:sz w:val="20"/>
        <w:szCs w:val="20"/>
      </w:rPr>
      <w:t>LOGO [Insert Company Logo Here]</w:t>
    </w:r>
  </w:p>
  <w:p w14:paraId="31485319" w14:textId="77777777" w:rsidR="00903FC9" w:rsidRDefault="00903F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74CA6" w14:textId="77777777" w:rsidR="00903FC9" w:rsidRDefault="00903F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492149">
    <w:abstractNumId w:val="8"/>
  </w:num>
  <w:num w:numId="2" w16cid:durableId="772288171">
    <w:abstractNumId w:val="6"/>
  </w:num>
  <w:num w:numId="3" w16cid:durableId="1734085603">
    <w:abstractNumId w:val="5"/>
  </w:num>
  <w:num w:numId="4" w16cid:durableId="906454201">
    <w:abstractNumId w:val="4"/>
  </w:num>
  <w:num w:numId="5" w16cid:durableId="733355768">
    <w:abstractNumId w:val="7"/>
  </w:num>
  <w:num w:numId="6" w16cid:durableId="141118368">
    <w:abstractNumId w:val="3"/>
  </w:num>
  <w:num w:numId="7" w16cid:durableId="976255965">
    <w:abstractNumId w:val="2"/>
  </w:num>
  <w:num w:numId="8" w16cid:durableId="1470702999">
    <w:abstractNumId w:val="1"/>
  </w:num>
  <w:num w:numId="9" w16cid:durableId="243034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AAA"/>
    <w:rsid w:val="001007C7"/>
    <w:rsid w:val="0015074B"/>
    <w:rsid w:val="0029639D"/>
    <w:rsid w:val="00326F90"/>
    <w:rsid w:val="00903FC9"/>
    <w:rsid w:val="009F7D9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F128D1"/>
  <w14:defaultImageDpi w14:val="300"/>
  <w15:docId w15:val="{B2436AA2-0B9D-524A-89A4-8AA05A04E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b w:val="0"/>
      <w:color w:val="2E3A32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B8788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879B7A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E3A32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Relationship Id="rId16" Type="http://schemas.openxmlformats.org/officeDocument/2006/relationships/image" Target="media/image1.jpeg"/><Relationship Id="rId17" Type="http://schemas.openxmlformats.org/officeDocument/2006/relationships/image" Target="media/image2.jpeg"/><Relationship Id="rId18" Type="http://schemas.openxmlformats.org/officeDocument/2006/relationships/image" Target="media/image3.png"/><Relationship Id="rId19" Type="http://schemas.openxmlformats.org/officeDocument/2006/relationships/image" Target="media/image4.png"/><Relationship Id="rId20" Type="http://schemas.openxmlformats.org/officeDocument/2006/relationships/image" Target="media/image5.png"/><Relationship Id="rId21" Type="http://schemas.openxmlformats.org/officeDocument/2006/relationships/image" Target="media/image6.png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Sophie Rogers</cp:lastModifiedBy>
  <cp:revision>2</cp:revision>
  <dcterms:created xsi:type="dcterms:W3CDTF">2026-01-31T14:25:00Z</dcterms:created>
  <dcterms:modified xsi:type="dcterms:W3CDTF">2026-01-31T14:25:00Z</dcterms:modified>
  <cp:category/>
</cp:coreProperties>
</file>