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HIMALAYAN BALSAM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AOS-BIO-24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1063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3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10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4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Himalayan Balsam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Impatiens glandulifera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Riverbanks, damp woodland, ditches, waste ground and adjacent gardens.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invasiv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Biosecurity / spread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Explosive seed dispersal and transfer on clothing, tools, vehicles and water; minor plant contact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Rapid environmental spread and bare-bank erosion after dieback; Seeds can be projected several metres when pods are ripe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Identify growth stage and control before seed pods mature where possible</w:t>
      </w:r>
    </w:p>
    <w:p>
      <w:pPr>
        <w:pStyle w:val="ListBullet"/>
        <w:spacing w:after="60"/>
        <w:ind w:left="340" w:hanging="170"/>
      </w:pPr>
      <w:r>
        <w:t>Do not brush against ripe pods; contain arisings and clean boots/tools</w:t>
      </w:r>
    </w:p>
    <w:p>
      <w:pPr>
        <w:pStyle w:val="ListBullet"/>
        <w:spacing w:after="60"/>
        <w:ind w:left="340" w:hanging="170"/>
      </w:pPr>
      <w:r>
        <w:t>Follow site biosecurity plan and current disposal guidance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exposed skin if irritated</w:t>
      </w:r>
    </w:p>
    <w:p>
      <w:pPr>
        <w:pStyle w:val="ListBullet"/>
        <w:spacing w:after="60"/>
        <w:ind w:left="340" w:hanging="170"/>
      </w:pPr>
      <w:r>
        <w:t>Stop and report accidental seed release/spread; contain and clean equipment before leaving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