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9A3D4" w14:textId="7E01AEBD" w:rsidR="002E7FBD" w:rsidRPr="00EB1D4C" w:rsidRDefault="00000000" w:rsidP="0032387F">
      <w:pPr>
        <w:spacing w:after="0"/>
        <w:jc w:val="center"/>
        <w:rPr>
          <w:rFonts w:ascii="Aptos Display" w:hAnsi="Aptos Display"/>
          <w:b/>
          <w:bCs/>
          <w:color w:val="FF0000"/>
          <w:sz w:val="20"/>
          <w:szCs w:val="20"/>
          <w:u w:val="single"/>
        </w:rPr>
      </w:pPr>
      <w:r w:rsidRPr="00EB1D4C">
        <w:rPr>
          <w:rFonts w:ascii="Aptos" w:hAnsi="Aptos" w:eastAsia="Aptos" w:cs="Aptos"/>
          <w:b/>
          <w:bCs/>
          <w:color w:val="FF0000"/>
          <w:sz w:val="20"/>
          <w:szCs w:val="20"/>
          <w:u w:val="single"/>
        </w:rPr>
        <w:t>COMPANY</w:t>
      </w:r>
    </w:p>
    <w:p w14:paraId="51DEA500" w14:textId="77777777" w:rsidR="002E7FBD" w:rsidRPr="00EB1D4C" w:rsidRDefault="00000000" w:rsidP="0032387F">
      <w:pPr>
        <w:spacing w:after="0"/>
        <w:jc w:val="center"/>
        <w:rPr>
          <w:rFonts w:ascii="Aptos Display" w:hAnsi="Aptos Display"/>
          <w:sz w:val="20"/>
          <w:szCs w:val="20"/>
          <w:u w:val="single"/>
        </w:rPr>
      </w:pPr>
      <w:r w:rsidRPr="00EB1D4C">
        <w:rPr>
          <w:rFonts w:ascii="Aptos" w:hAnsi="Aptos" w:eastAsia="Aptos" w:cs="Aptos"/>
          <w:sz w:val="20"/>
          <w:szCs w:val="20"/>
          <w:u w:val="single"/>
        </w:rPr>
        <w:t>GENERIC RISK ASSESSMENT (GRA) – COMMON WORKSITE HAZARDS</w:t>
      </w:r>
      <w:r w:rsidRPr="00EB1D4C">
        <w:rPr>
          <w:rFonts w:ascii="Aptos" w:hAnsi="Aptos" w:eastAsia="Aptos" w:cs="Aptos"/>
          <w:sz w:val="20"/>
          <w:szCs w:val="20"/>
          <w:u w:val="single"/>
        </w:rPr>
        <w:br/>
      </w:r>
    </w:p>
    <w:p w14:paraId="656CD88D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Activity / Task: General arboricultural and vegetation management operations – common site hazards applicable to most worksites</w:t>
      </w:r>
    </w:p>
    <w:p w14:paraId="1BBC741D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Document Ref: ARB-GRA-24</w:t>
      </w:r>
    </w:p>
    <w:p w14:paraId="27BF3CAD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Version: ____    Date Issued: ____    Review Date: ____</w:t>
      </w:r>
    </w:p>
    <w:p w14:paraId="6E877EE7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Assessed by: ______________________________</w:t>
      </w:r>
      <w:r w:rsidRPr="0032387F">
        <w:rPr>
          <w:rFonts w:ascii="Aptos" w:hAnsi="Aptos" w:eastAsia="Aptos" w:cs="Aptos"/>
          <w:sz w:val="20"/>
          <w:szCs w:val="20"/>
        </w:rPr>
        <w:br/>
      </w:r>
    </w:p>
    <w:p w14:paraId="5F1C5DC0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1. Scope of Risk Assessment</w:t>
      </w:r>
    </w:p>
    <w:p w14:paraId="5E4575ED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This Generic Risk Assessment (GRA) identifies common hazards encountered on arboricultural and vegetation management worksites. It applies to all operational activities and must be read alongside task-specific GRAs (e.g., chainsaw, MEWP, stump grinder, woodchipper), Site-Specific Risk Assessments (SSRAs), and the Lone Working Procedure where applicable.</w:t>
      </w:r>
    </w:p>
    <w:p w14:paraId="29C9E382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2. Responsibilities</w:t>
      </w:r>
    </w:p>
    <w:p w14:paraId="4129C6F9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Managers must ensure adequate planning, competence, supervision structures and emergency arrangements are in place.</w:t>
      </w:r>
    </w:p>
    <w:p w14:paraId="7AC302A3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Team Leaders must complete and brief the SSRA, confirm control measures are implemented, manage dynamic risks and retain stop-work authority.</w:t>
      </w:r>
    </w:p>
    <w:p w14:paraId="264932A9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All operatives must follow safe systems of work, wear required PPE, report hazards and stop work if unsafe conditions arise.</w:t>
      </w:r>
    </w:p>
    <w:p w14:paraId="61293238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3. Persons at Risk</w:t>
      </w:r>
    </w:p>
    <w:p w14:paraId="04786A5C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Employees    </w:t>
      </w: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Contractors    </w:t>
      </w: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Members of the Public    </w:t>
      </w: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Clients    </w:t>
      </w: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</w:t>
      </w:r>
      <w:proofErr w:type="gramStart"/>
      <w:r w:rsidRPr="0032387F">
        <w:rPr>
          <w:rFonts w:ascii="Aptos" w:hAnsi="Aptos" w:eastAsia="Aptos" w:cs="Aptos"/>
          <w:sz w:val="20"/>
          <w:szCs w:val="20"/>
        </w:rPr>
        <w:t>Other road</w:t>
      </w:r>
      <w:proofErr w:type="gramEnd"/>
      <w:r w:rsidRPr="0032387F">
        <w:rPr>
          <w:rFonts w:ascii="Aptos" w:hAnsi="Aptos" w:eastAsia="Aptos" w:cs="Aptos"/>
          <w:sz w:val="20"/>
          <w:szCs w:val="20"/>
        </w:rPr>
        <w:t xml:space="preserve"> users    </w:t>
      </w:r>
      <w:r w:rsidRPr="0032387F">
        <w:rPr>
          <w:rFonts w:ascii="Aptos" w:hAnsi="Aptos" w:cs="Aptos" w:eastAsia="Aptos"/>
          <w:sz w:val="20"/>
          <w:szCs w:val="20"/>
        </w:rPr>
        <w:t>☒</w:t>
      </w:r>
      <w:r w:rsidRPr="0032387F">
        <w:rPr>
          <w:rFonts w:ascii="Aptos" w:hAnsi="Aptos" w:eastAsia="Aptos" w:cs="Aptos"/>
          <w:sz w:val="20"/>
          <w:szCs w:val="20"/>
        </w:rPr>
        <w:t xml:space="preserve"> Environment</w:t>
      </w:r>
    </w:p>
    <w:p w14:paraId="1A950100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4. PPE Requirements</w:t>
      </w:r>
    </w:p>
    <w:p w14:paraId="61540B9B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PPE must be determined via SSRA and task-specific GRA. As a minimum: safety helmet, protective footwear, gloves and high visibility clothing where appropriate. Additional PPE (eye, hearing, chainsaw, RPE, buoyancy etc.) as required by task.</w:t>
      </w:r>
    </w:p>
    <w:p w14:paraId="704E1265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5. Emergency Arrangements</w:t>
      </w:r>
    </w:p>
    <w:p w14:paraId="7E24ABC4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 xml:space="preserve">Emergency arrangements must comply with FISA 802 where applicable. Nearest A&amp;E and site access (including What3Words) must be identified prior to works. First aid provision must be suitable for task risk. Emergency services access routes must </w:t>
      </w:r>
      <w:proofErr w:type="gramStart"/>
      <w:r w:rsidRPr="0032387F">
        <w:rPr>
          <w:rFonts w:ascii="Aptos" w:hAnsi="Aptos" w:eastAsia="Aptos" w:cs="Aptos"/>
          <w:sz w:val="20"/>
          <w:szCs w:val="20"/>
        </w:rPr>
        <w:t>remain clear at all times</w:t>
      </w:r>
      <w:proofErr w:type="gramEnd"/>
      <w:r w:rsidRPr="0032387F">
        <w:rPr>
          <w:rFonts w:ascii="Aptos" w:hAnsi="Aptos" w:eastAsia="Aptos" w:cs="Aptos"/>
          <w:sz w:val="20"/>
          <w:szCs w:val="20"/>
        </w:rPr>
        <w:t>.</w:t>
      </w:r>
    </w:p>
    <w:p w14:paraId="5FDE80CD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6. Risk Matrix &amp; Scoring</w:t>
      </w:r>
    </w:p>
    <w:p w14:paraId="6B8D2C21" w14:textId="77777777" w:rsidR="0032387F" w:rsidRPr="00216D93" w:rsidRDefault="0032387F" w:rsidP="0032387F">
      <w:pPr>
        <w:rPr>
          <w:rFonts w:ascii="Aptos Display" w:hAnsi="Aptos Display"/>
          <w:sz w:val="20"/>
          <w:szCs w:val="20"/>
        </w:rPr>
      </w:pPr>
      <w:r>
        <w:rPr>
          <w:rFonts w:ascii="Aptos" w:hAnsi="Aptos" w:eastAsia="Aptos" w:cs="Aptos"/>
          <w:sz w:val="20"/>
        </w:rPr>
        <w:t>Risk is assessed using Likelihood (L) and Severity (S). Each rating must show the component scores and the calculation: L × S = Risk Rating. Initial risk is assessed before controls. Residual risk is reassessed after the listed controls using a new Residual L and Residual S score; these must not be copied from the initial assessment without review.</w:t>
      </w:r>
    </w:p>
    <w:tbl>
      <w:tblPr>
        <w:tblStyle w:val="TableGrid"/>
        <w:tblW w:w="0" w:type="auto"/>
        <w:tblInd w:w="1198" w:type="dxa"/>
        <w:tblLook w:val="04A0" w:firstRow="1" w:lastRow="0" w:firstColumn="1" w:lastColumn="0" w:noHBand="0" w:noVBand="1"/>
      </w:tblPr>
      <w:tblGrid>
        <w:gridCol w:w="2738"/>
        <w:gridCol w:w="1275"/>
        <w:gridCol w:w="1471"/>
        <w:gridCol w:w="1506"/>
        <w:gridCol w:w="1418"/>
        <w:gridCol w:w="1701"/>
      </w:tblGrid>
      <w:tr w:rsidR="0032387F" w:rsidRPr="00216D93" w14:paraId="52A19D67" w14:textId="77777777" w:rsidTr="00FD207C">
        <w:tc>
          <w:tcPr>
            <w:tcW w:w="2738" w:type="dxa"/>
            <w:shd w:val="clear" w:color="auto" w:fill="BFBFBF" w:themeFill="background1" w:themeFillShade="BF"/>
          </w:tcPr>
          <w:p w14:paraId="21E2D04C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Severity ↓ / Likelihood →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55DB314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 Rare</w:t>
            </w:r>
          </w:p>
        </w:tc>
        <w:tc>
          <w:tcPr>
            <w:tcW w:w="1471" w:type="dxa"/>
            <w:shd w:val="clear" w:color="auto" w:fill="BFBFBF" w:themeFill="background1" w:themeFillShade="BF"/>
          </w:tcPr>
          <w:p w14:paraId="46ABB3F9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 Unlikely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442429A7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 Possible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3A5ECF79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 Likely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624A2CB2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 Very Likely</w:t>
            </w:r>
          </w:p>
        </w:tc>
      </w:tr>
      <w:tr w:rsidR="0032387F" w:rsidRPr="00216D93" w14:paraId="283D80A9" w14:textId="77777777" w:rsidTr="00FD207C">
        <w:tc>
          <w:tcPr>
            <w:tcW w:w="2738" w:type="dxa"/>
          </w:tcPr>
          <w:p w14:paraId="1D20521C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 Minor</w:t>
            </w:r>
          </w:p>
        </w:tc>
        <w:tc>
          <w:tcPr>
            <w:tcW w:w="1275" w:type="dxa"/>
            <w:shd w:val="clear" w:color="auto" w:fill="92D050"/>
          </w:tcPr>
          <w:p w14:paraId="7BFABFE7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</w:t>
            </w:r>
          </w:p>
        </w:tc>
        <w:tc>
          <w:tcPr>
            <w:tcW w:w="1471" w:type="dxa"/>
            <w:shd w:val="clear" w:color="auto" w:fill="92D050"/>
          </w:tcPr>
          <w:p w14:paraId="5DA108E9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</w:t>
            </w:r>
          </w:p>
        </w:tc>
        <w:tc>
          <w:tcPr>
            <w:tcW w:w="1506" w:type="dxa"/>
            <w:shd w:val="clear" w:color="auto" w:fill="92D050"/>
          </w:tcPr>
          <w:p w14:paraId="05DFC690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92D050"/>
          </w:tcPr>
          <w:p w14:paraId="74D135B6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19067830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</w:tr>
      <w:tr w:rsidR="0032387F" w:rsidRPr="00216D93" w14:paraId="389768C2" w14:textId="77777777" w:rsidTr="00FD207C">
        <w:tc>
          <w:tcPr>
            <w:tcW w:w="2738" w:type="dxa"/>
          </w:tcPr>
          <w:p w14:paraId="5A7DA836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 First Aid</w:t>
            </w:r>
          </w:p>
        </w:tc>
        <w:tc>
          <w:tcPr>
            <w:tcW w:w="1275" w:type="dxa"/>
            <w:shd w:val="clear" w:color="auto" w:fill="92D050"/>
          </w:tcPr>
          <w:p w14:paraId="21AB1123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</w:t>
            </w:r>
          </w:p>
        </w:tc>
        <w:tc>
          <w:tcPr>
            <w:tcW w:w="1471" w:type="dxa"/>
            <w:shd w:val="clear" w:color="auto" w:fill="92D050"/>
          </w:tcPr>
          <w:p w14:paraId="3ABD264F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05738031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FBD4B4" w:themeFill="accent6" w:themeFillTint="66"/>
          </w:tcPr>
          <w:p w14:paraId="3B0982F6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6F1E2D1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10</w:t>
            </w:r>
          </w:p>
        </w:tc>
      </w:tr>
      <w:tr w:rsidR="0032387F" w:rsidRPr="00216D93" w14:paraId="63C525C6" w14:textId="77777777" w:rsidTr="00FD207C">
        <w:tc>
          <w:tcPr>
            <w:tcW w:w="2738" w:type="dxa"/>
          </w:tcPr>
          <w:p w14:paraId="239AA57B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 Medical</w:t>
            </w:r>
          </w:p>
        </w:tc>
        <w:tc>
          <w:tcPr>
            <w:tcW w:w="1275" w:type="dxa"/>
            <w:shd w:val="clear" w:color="auto" w:fill="92D050"/>
          </w:tcPr>
          <w:p w14:paraId="7ECB32B3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5465071F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6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42CF011C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1A6A68A4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F3D0A68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15</w:t>
            </w:r>
          </w:p>
        </w:tc>
      </w:tr>
      <w:tr w:rsidR="0032387F" w:rsidRPr="00216D93" w14:paraId="7F8364C3" w14:textId="77777777" w:rsidTr="00FD207C">
        <w:tc>
          <w:tcPr>
            <w:tcW w:w="2738" w:type="dxa"/>
          </w:tcPr>
          <w:p w14:paraId="1D470FA6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 Major</w:t>
            </w:r>
          </w:p>
        </w:tc>
        <w:tc>
          <w:tcPr>
            <w:tcW w:w="1275" w:type="dxa"/>
            <w:shd w:val="clear" w:color="auto" w:fill="92D050"/>
          </w:tcPr>
          <w:p w14:paraId="4A300A4D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30081240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8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40B0F8C4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60445709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FF0000"/>
          </w:tcPr>
          <w:p w14:paraId="38CBDA53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20</w:t>
            </w:r>
          </w:p>
        </w:tc>
      </w:tr>
      <w:tr w:rsidR="0032387F" w:rsidRPr="00216D93" w14:paraId="34EE7CA7" w14:textId="77777777" w:rsidTr="00FD207C">
        <w:tc>
          <w:tcPr>
            <w:tcW w:w="2738" w:type="dxa"/>
          </w:tcPr>
          <w:p w14:paraId="6EBD7909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 Fatal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75D93332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1471" w:type="dxa"/>
            <w:shd w:val="clear" w:color="auto" w:fill="E36C0A" w:themeFill="accent6" w:themeFillShade="BF"/>
          </w:tcPr>
          <w:p w14:paraId="288DF8C8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10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698DCE9F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FF0000"/>
          </w:tcPr>
          <w:p w14:paraId="003C8BEC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FF0000"/>
          </w:tcPr>
          <w:p w14:paraId="2DD08E43" w14:textId="77777777" w:rsidR="0032387F" w:rsidRPr="00216D93" w:rsidRDefault="0032387F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25</w:t>
            </w:r>
          </w:p>
        </w:tc>
      </w:tr>
    </w:tbl>
    <w:p w14:paraId="3C30F280" w14:textId="77777777" w:rsidR="0032387F" w:rsidRPr="00216D93" w:rsidRDefault="0032387F" w:rsidP="0032387F">
      <w:pPr>
        <w:rPr>
          <w:rFonts w:ascii="Aptos Display" w:hAnsi="Aptos Display"/>
          <w:sz w:val="20"/>
          <w:szCs w:val="20"/>
        </w:rPr>
      </w:pPr>
    </w:p>
    <w:p w14:paraId="76002963" w14:textId="4925D7F7" w:rsidR="002E7FBD" w:rsidRPr="0032387F" w:rsidRDefault="0032387F">
      <w:pPr>
        <w:rPr>
          <w:rFonts w:ascii="Aptos Display" w:hAnsi="Aptos Display"/>
          <w:sz w:val="20"/>
          <w:szCs w:val="20"/>
        </w:rPr>
      </w:pPr>
      <w:r w:rsidRPr="00216D93">
        <w:rPr>
          <w:rFonts w:ascii="Aptos" w:hAnsi="Aptos" w:eastAsia="Aptos" w:cs="Aptos"/>
          <w:sz w:val="20"/>
          <w:szCs w:val="20"/>
        </w:rPr>
        <w:t>Risk bands: 1–4 Low | 5–9 Medium | 10–16 High | 17–25 Intolerable</w:t>
      </w:r>
    </w:p>
    <w:p w14:paraId="7F40B0E6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7. Relevant UK Legislation &amp; Guidance</w:t>
      </w:r>
    </w:p>
    <w:p w14:paraId="6FCF6402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Health and Safety at Work etc. Act 1974</w:t>
      </w:r>
    </w:p>
    <w:p w14:paraId="023C95B2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Management of Health and Safety at Work Regulations 1999</w:t>
      </w:r>
    </w:p>
    <w:p w14:paraId="69476F9B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Provision and Use of Work Equipment Regulations 1998 (PUWER)</w:t>
      </w:r>
    </w:p>
    <w:p w14:paraId="74917203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Work at Height Regulations 2005</w:t>
      </w:r>
    </w:p>
    <w:p w14:paraId="0ACFD2BB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Control of Substances Hazardous to Health Regulations 2002 (COSHH)</w:t>
      </w:r>
    </w:p>
    <w:p w14:paraId="61D40A27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Control of Noise at Work Regulations 2005</w:t>
      </w:r>
    </w:p>
    <w:p w14:paraId="1E96592E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Control of Vibration at Work Regulations 2005</w:t>
      </w:r>
    </w:p>
    <w:p w14:paraId="08E7F97B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Electricity at Work Regulations 1989</w:t>
      </w:r>
    </w:p>
    <w:p w14:paraId="465A86E6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Wildlife and Countryside Act 1981</w:t>
      </w:r>
    </w:p>
    <w:p w14:paraId="19F60DA2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RIDDOR 2013</w:t>
      </w:r>
    </w:p>
    <w:p w14:paraId="0F75BECB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FISA 802 – Emergency Planning</w:t>
      </w:r>
    </w:p>
    <w:p w14:paraId="33253B67" w14:textId="77777777" w:rsidR="002E7FBD" w:rsidRPr="0032387F" w:rsidRDefault="00000000" w:rsidP="0032387F">
      <w:pPr>
        <w:spacing w:after="0"/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FISA 805 – Training and Certification</w:t>
      </w:r>
    </w:p>
    <w:p w14:paraId="3664A719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8. Hazards &amp; Control Measures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726"/>
        <w:gridCol w:w="1553"/>
        <w:gridCol w:w="2114"/>
        <w:gridCol w:w="852"/>
        <w:gridCol w:w="848"/>
        <w:gridCol w:w="1125"/>
        <w:gridCol w:w="3235"/>
        <w:gridCol w:w="1497"/>
        <w:gridCol w:w="720"/>
        <w:gridCol w:w="936"/>
      </w:tblGrid>
      <w:tr w:rsidR="0032387F" w:rsidRPr="0032387F" w14:paraId="71809BFA" w14:textId="77777777" w:rsidTr="0032387F">
        <w:trPr>
          <w:jc w:val="center"/>
          <w:tblHeader w:val="true"/>
          <w:cantSplit/>
        </w:trPr>
        <w:tc>
          <w:tcPr>
            <w:tcW w:w="1368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Hazard</w:t>
            </w:r>
          </w:p>
        </w:tc>
        <w:tc>
          <w:tcPr>
            <w:tcW w:w="1080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Persons at Risk</w:t>
            </w:r>
          </w:p>
        </w:tc>
        <w:tc>
          <w:tcPr>
            <w:tcW w:w="1584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How Harm May Occur</w:t>
            </w:r>
          </w:p>
        </w:tc>
        <w:tc>
          <w:tcPr>
            <w:tcW w:w="576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L</w:t>
            </w:r>
          </w:p>
        </w:tc>
        <w:tc>
          <w:tcPr>
            <w:tcW w:w="576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S</w:t>
            </w:r>
          </w:p>
        </w:tc>
        <w:tc>
          <w:tcPr>
            <w:tcW w:w="835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L×S</w:t>
            </w:r>
          </w:p>
        </w:tc>
        <w:tc>
          <w:tcPr>
            <w:tcW w:w="4104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Control Measures</w:t>
            </w:r>
          </w:p>
        </w:tc>
        <w:tc>
          <w:tcPr>
            <w:tcW w:w="720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L</w:t>
            </w:r>
          </w:p>
        </w:tc>
        <w:tc>
          <w:tcPr>
            <w:tcW w:type="dxa" w:w="720"/>
            <w:vAlign w:val="center"/>
            <w:shd w:fill="5E4B56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S</w:t>
            </w:r>
          </w:p>
        </w:tc>
        <w:tc>
          <w:tcPr>
            <w:tcW w:type="dxa" w:w="936"/>
            <w:vAlign w:val="center"/>
            <w:shd w:fill="5E4B56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L×S</w:t>
            </w:r>
          </w:p>
        </w:tc>
      </w:tr>
      <w:tr w:rsidR="0032387F" w:rsidRPr="0032387F" w14:paraId="49072AF9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6DECA700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Public access to worksite</w:t>
            </w:r>
          </w:p>
        </w:tc>
        <w:tc>
          <w:tcPr>
            <w:tcW w:w="1080" w:type="dxa"/>
            <w:shd w:fill="FFFFFF"/>
          </w:tcPr>
          <w:p w14:paraId="2ACF9B78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Public, operatives</w:t>
            </w:r>
          </w:p>
        </w:tc>
        <w:tc>
          <w:tcPr>
            <w:tcW w:w="1584" w:type="dxa"/>
            <w:shd w:fill="FFFFFF"/>
          </w:tcPr>
          <w:p w14:paraId="798C16CB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Injury from plant, falling material or equipment</w:t>
            </w:r>
          </w:p>
        </w:tc>
        <w:tc>
          <w:tcPr>
            <w:tcW w:w="576" w:type="dxa"/>
            <w:shd w:fill="FFFFFF"/>
          </w:tcPr>
          <w:p w14:paraId="0E535F89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576" w:type="dxa"/>
            <w:shd w:fill="FFFFFF"/>
          </w:tcPr>
          <w:p w14:paraId="2F84D2ED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159CA4DE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16</w:t>
            </w:r>
          </w:p>
        </w:tc>
        <w:tc>
          <w:tcPr>
            <w:tcW w:w="4104" w:type="dxa"/>
            <w:shd w:fill="FFFFFF"/>
          </w:tcPr>
          <w:p w14:paraId="356D992A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Barriers/cones/signage deployed; exclusion zones established; banksman where required; work paused if boundary breached; Team Leader monitors boundary integrity.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4DCD3941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33087B82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Restricted site access/egress</w:t>
            </w:r>
          </w:p>
        </w:tc>
        <w:tc>
          <w:tcPr>
            <w:tcW w:w="1080" w:type="dxa"/>
            <w:shd w:fill="F4F0F7"/>
          </w:tcPr>
          <w:p w14:paraId="6776F707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Operatives, emergency services</w:t>
            </w:r>
          </w:p>
        </w:tc>
        <w:tc>
          <w:tcPr>
            <w:tcW w:w="1584" w:type="dxa"/>
            <w:shd w:fill="F4F0F7"/>
          </w:tcPr>
          <w:p w14:paraId="59EFA859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Delayed emergency response or collision</w:t>
            </w:r>
          </w:p>
        </w:tc>
        <w:tc>
          <w:tcPr>
            <w:tcW w:w="576" w:type="dxa"/>
            <w:shd w:fill="F4F0F7"/>
          </w:tcPr>
          <w:p w14:paraId="5A1A523F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4F0F7"/>
          </w:tcPr>
          <w:p w14:paraId="3ED214A7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1C6F1560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4F0F7"/>
          </w:tcPr>
          <w:p w14:paraId="6C93BB05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Access routes assessed during SSRA; emergency vehicle access maintained; vehicles parked safely; turning areas identified; no obstruction of highways.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32387F" w:rsidRPr="0032387F" w14:paraId="0F96272A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551A5A3D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Reversing vehicles and plant movement</w:t>
            </w:r>
          </w:p>
        </w:tc>
        <w:tc>
          <w:tcPr>
            <w:tcW w:w="1080" w:type="dxa"/>
            <w:shd w:fill="FFFFFF"/>
          </w:tcPr>
          <w:p w14:paraId="6F04B804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Operatives, public</w:t>
            </w:r>
          </w:p>
        </w:tc>
        <w:tc>
          <w:tcPr>
            <w:tcW w:w="1584" w:type="dxa"/>
            <w:shd w:fill="FFFFFF"/>
          </w:tcPr>
          <w:p w14:paraId="231453D6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Struck-by incidents</w:t>
            </w:r>
          </w:p>
        </w:tc>
        <w:tc>
          <w:tcPr>
            <w:tcW w:w="576" w:type="dxa"/>
            <w:shd w:fill="FFFFFF"/>
          </w:tcPr>
          <w:p w14:paraId="5DE0FF40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FFFFF"/>
          </w:tcPr>
          <w:p w14:paraId="1BAD112B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59786D12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FFFFF"/>
          </w:tcPr>
          <w:p w14:paraId="7BFD2C31" w14:textId="296C9B23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 xml:space="preserve">Reversing </w:t>
            </w:r>
            <w:proofErr w:type="spellStart"/>
            <w:r w:rsidRPr="0032387F">
              <w:rPr>
                <w:rFonts w:ascii="Aptos" w:hAnsi="Aptos" w:eastAsia="Aptos" w:cs="Aptos"/>
                <w:sz w:val="20"/>
                <w:szCs w:val="20"/>
              </w:rPr>
              <w:t>minimised</w:t>
            </w:r>
            <w:proofErr w:type="spellEnd"/>
            <w:r w:rsidRPr="0032387F">
              <w:rPr>
                <w:rFonts w:ascii="Aptos" w:hAnsi="Aptos" w:eastAsia="Aptos" w:cs="Aptos"/>
                <w:sz w:val="20"/>
                <w:szCs w:val="20"/>
              </w:rPr>
              <w:t xml:space="preserve">; banksman 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always </w:t>
            </w:r>
            <w:r w:rsidRPr="0032387F">
              <w:rPr>
                <w:rFonts w:ascii="Aptos" w:hAnsi="Aptos" w:eastAsia="Aptos" w:cs="Aptos"/>
                <w:sz w:val="20"/>
                <w:szCs w:val="20"/>
              </w:rPr>
              <w:t>used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 when reversing</w:t>
            </w:r>
            <w:r w:rsidRPr="0032387F">
              <w:rPr>
                <w:rFonts w:ascii="Aptos" w:hAnsi="Aptos" w:eastAsia="Aptos" w:cs="Aptos"/>
                <w:sz w:val="20"/>
                <w:szCs w:val="20"/>
              </w:rPr>
              <w:t>; audible reversing alarms functional; high visibility worn; designated pedestrian routes maintained.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32387F" w:rsidRPr="0032387F" w14:paraId="2C91D1B8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0E6920D2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Overhead services</w:t>
            </w:r>
          </w:p>
        </w:tc>
        <w:tc>
          <w:tcPr>
            <w:tcW w:w="1080" w:type="dxa"/>
            <w:shd w:fill="F4F0F7"/>
          </w:tcPr>
          <w:p w14:paraId="721CD25B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</w:t>
            </w:r>
          </w:p>
        </w:tc>
        <w:tc>
          <w:tcPr>
            <w:tcW w:w="1584" w:type="dxa"/>
            <w:shd w:fill="F4F0F7"/>
          </w:tcPr>
          <w:p w14:paraId="56BEE47E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Electric shock or arc injury</w:t>
            </w:r>
          </w:p>
        </w:tc>
        <w:tc>
          <w:tcPr>
            <w:tcW w:w="576" w:type="dxa"/>
            <w:shd w:fill="F4F0F7"/>
          </w:tcPr>
          <w:p w14:paraId="7450A424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4F0F7"/>
          </w:tcPr>
          <w:p w14:paraId="54B5E845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619C8E2F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4F0F7"/>
          </w:tcPr>
          <w:p w14:paraId="4E078939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Identify lines during SSRA; maintain safe clearance; follow Electricity at Work Regs; contact DNO if uncertain; no conductive poles near live lines.</w:t>
            </w:r>
          </w:p>
        </w:tc>
        <w:tc>
          <w:tcPr>
            <w:tcW w:w="720" w:type="dxa"/>
            <w:shd w:val="clear" w:color="auto" w:fill="F4F0F7" w:themeFill="accent6" w:themeFillTint="33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32387F" w:rsidRPr="0032387F" w14:paraId="5903C0C5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712748E5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Underground services</w:t>
            </w:r>
          </w:p>
        </w:tc>
        <w:tc>
          <w:tcPr>
            <w:tcW w:w="1080" w:type="dxa"/>
            <w:shd w:fill="FFFFFF"/>
          </w:tcPr>
          <w:p w14:paraId="0B247D38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</w:t>
            </w:r>
          </w:p>
        </w:tc>
        <w:tc>
          <w:tcPr>
            <w:tcW w:w="1584" w:type="dxa"/>
            <w:shd w:fill="FFFFFF"/>
          </w:tcPr>
          <w:p w14:paraId="11E482C5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Electric shock, gas leak, flooding</w:t>
            </w:r>
          </w:p>
        </w:tc>
        <w:tc>
          <w:tcPr>
            <w:tcW w:w="576" w:type="dxa"/>
            <w:shd w:fill="FFFFFF"/>
          </w:tcPr>
          <w:p w14:paraId="0679869A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FFFFF"/>
          </w:tcPr>
          <w:p w14:paraId="7F2D7CE9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F1DF4FA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FFFFF"/>
          </w:tcPr>
          <w:p w14:paraId="0B4BD7BE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HSG47 followed; service drawings obtained; CAT &amp; Genny used; trial holes by hand; stop work if services cannot be confirmed.</w:t>
            </w:r>
          </w:p>
        </w:tc>
        <w:tc>
          <w:tcPr>
            <w:tcW w:w="720" w:type="dxa"/>
            <w:shd w:val="clear" w:color="auto" w:fill="FFFFFF" w:themeFill="accent6" w:themeFillTint="33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32387F" w:rsidRPr="0032387F" w14:paraId="03D08516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00071CB6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lastRenderedPageBreak/>
              <w:t>Slips, trips and uneven terrain</w:t>
            </w:r>
          </w:p>
        </w:tc>
        <w:tc>
          <w:tcPr>
            <w:tcW w:w="1080" w:type="dxa"/>
            <w:shd w:fill="F4F0F7"/>
          </w:tcPr>
          <w:p w14:paraId="2BE52F1C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All persons</w:t>
            </w:r>
          </w:p>
        </w:tc>
        <w:tc>
          <w:tcPr>
            <w:tcW w:w="1584" w:type="dxa"/>
            <w:shd w:fill="F4F0F7"/>
          </w:tcPr>
          <w:p w14:paraId="124D1979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Sprains, fractures</w:t>
            </w:r>
          </w:p>
        </w:tc>
        <w:tc>
          <w:tcPr>
            <w:tcW w:w="576" w:type="dxa"/>
            <w:shd w:fill="F4F0F7"/>
          </w:tcPr>
          <w:p w14:paraId="32D6DEF8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576" w:type="dxa"/>
            <w:shd w:fill="F4F0F7"/>
          </w:tcPr>
          <w:p w14:paraId="7834A9C8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176247C2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4F0F7"/>
          </w:tcPr>
          <w:p w14:paraId="306798BF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Good housekeeping; brash stacked safely; clear walkways; suitable footwear; lighting provided if required.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3</w:t>
            </w:r>
          </w:p>
        </w:tc>
      </w:tr>
      <w:tr w:rsidR="0032387F" w:rsidRPr="0032387F" w14:paraId="344BAEAD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718E4573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Adverse weather</w:t>
            </w:r>
          </w:p>
        </w:tc>
        <w:tc>
          <w:tcPr>
            <w:tcW w:w="1080" w:type="dxa"/>
            <w:shd w:fill="FFFFFF"/>
          </w:tcPr>
          <w:p w14:paraId="7A0B5046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</w:t>
            </w:r>
          </w:p>
        </w:tc>
        <w:tc>
          <w:tcPr>
            <w:tcW w:w="1584" w:type="dxa"/>
            <w:shd w:fill="FFFFFF"/>
          </w:tcPr>
          <w:p w14:paraId="1F13853E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Wind-related injury, heat stress, hypothermia, lightning</w:t>
            </w:r>
          </w:p>
        </w:tc>
        <w:tc>
          <w:tcPr>
            <w:tcW w:w="576" w:type="dxa"/>
            <w:shd w:fill="FFFFFF"/>
          </w:tcPr>
          <w:p w14:paraId="4AEB6015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576" w:type="dxa"/>
            <w:shd w:fill="FFFFFF"/>
          </w:tcPr>
          <w:p w14:paraId="42D1E730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99EE2F3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16</w:t>
            </w:r>
          </w:p>
        </w:tc>
        <w:tc>
          <w:tcPr>
            <w:tcW w:w="4104" w:type="dxa"/>
            <w:shd w:fill="FFFFFF"/>
          </w:tcPr>
          <w:p w14:paraId="2F7534D5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Weather monitored; stop work in high winds/lightning; hydration in hot weather; warm clothing in cold; dynamic reassessment by Team Leader.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07EA44C8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5678E276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Falling debris from adjacent works</w:t>
            </w:r>
          </w:p>
        </w:tc>
        <w:tc>
          <w:tcPr>
            <w:tcW w:w="1080" w:type="dxa"/>
            <w:shd w:fill="F4F0F7"/>
          </w:tcPr>
          <w:p w14:paraId="7694AADF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Operatives, public</w:t>
            </w:r>
          </w:p>
        </w:tc>
        <w:tc>
          <w:tcPr>
            <w:tcW w:w="1584" w:type="dxa"/>
            <w:shd w:fill="F4F0F7"/>
          </w:tcPr>
          <w:p w14:paraId="406C1D54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Head injury from falling objects</w:t>
            </w:r>
          </w:p>
        </w:tc>
        <w:tc>
          <w:tcPr>
            <w:tcW w:w="576" w:type="dxa"/>
            <w:shd w:fill="F4F0F7"/>
          </w:tcPr>
          <w:p w14:paraId="0EAE0426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4F0F7"/>
          </w:tcPr>
          <w:p w14:paraId="44E1D71C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27061495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4F0F7"/>
          </w:tcPr>
          <w:p w14:paraId="2F504F94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Maintain exclusion zones; helmet worn; coordinate with third-party contractors; no simultaneous conflicting operations.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32387F" w:rsidRPr="0032387F" w14:paraId="549DA791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415D6860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Wildlife and protected species</w:t>
            </w:r>
          </w:p>
        </w:tc>
        <w:tc>
          <w:tcPr>
            <w:tcW w:w="1080" w:type="dxa"/>
            <w:shd w:fill="FFFFFF"/>
          </w:tcPr>
          <w:p w14:paraId="3779FBCC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Operatives, environment</w:t>
            </w:r>
          </w:p>
        </w:tc>
        <w:tc>
          <w:tcPr>
            <w:tcW w:w="1584" w:type="dxa"/>
            <w:shd w:fill="FFFFFF"/>
          </w:tcPr>
          <w:p w14:paraId="5DBDA18A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Legal breach or injury</w:t>
            </w:r>
          </w:p>
        </w:tc>
        <w:tc>
          <w:tcPr>
            <w:tcW w:w="576" w:type="dxa"/>
            <w:shd w:fill="FFFFFF"/>
          </w:tcPr>
          <w:p w14:paraId="4EEB2291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FFFFF"/>
          </w:tcPr>
          <w:p w14:paraId="2D9A030C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873AC32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58A19C8E" w14:textId="7765C821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 xml:space="preserve">Ecological check prior to works; no disturbance of active nests; </w:t>
            </w:r>
            <w:r w:rsidRPr="0032387F">
              <w:rPr>
                <w:rFonts w:ascii="Aptos" w:hAnsi="Aptos" w:eastAsia="Aptos" w:cs="Aptos"/>
                <w:sz w:val="20"/>
                <w:szCs w:val="20"/>
              </w:rPr>
              <w:t>licenses</w:t>
            </w:r>
            <w:r w:rsidRPr="0032387F">
              <w:rPr>
                <w:rFonts w:ascii="Aptos" w:hAnsi="Aptos" w:eastAsia="Aptos" w:cs="Aptos"/>
                <w:sz w:val="20"/>
                <w:szCs w:val="20"/>
              </w:rPr>
              <w:t xml:space="preserve"> obtained where required; works rescheduled if necessary.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12946BB8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3F325193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Fatigue and time pressure</w:t>
            </w:r>
          </w:p>
        </w:tc>
        <w:tc>
          <w:tcPr>
            <w:tcW w:w="1080" w:type="dxa"/>
            <w:shd w:fill="F4F0F7"/>
          </w:tcPr>
          <w:p w14:paraId="08703D76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</w:t>
            </w:r>
          </w:p>
        </w:tc>
        <w:tc>
          <w:tcPr>
            <w:tcW w:w="1584" w:type="dxa"/>
            <w:shd w:fill="F4F0F7"/>
          </w:tcPr>
          <w:p w14:paraId="54F28F2A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Reduced judgement leading to accidents</w:t>
            </w:r>
          </w:p>
        </w:tc>
        <w:tc>
          <w:tcPr>
            <w:tcW w:w="576" w:type="dxa"/>
            <w:shd w:fill="F4F0F7"/>
          </w:tcPr>
          <w:p w14:paraId="786B1A0B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4F0F7"/>
          </w:tcPr>
          <w:p w14:paraId="3FD30564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1D82AEAA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4F0F7"/>
          </w:tcPr>
          <w:p w14:paraId="3973615C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Work planned realistically; adequate breaks; no rushing; fatigue monitored by Team Leader; stop work if unsafe.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45CCF0FF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62F536B3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Poor lighting / reduced visibility</w:t>
            </w:r>
          </w:p>
        </w:tc>
        <w:tc>
          <w:tcPr>
            <w:tcW w:w="1080" w:type="dxa"/>
            <w:shd w:fill="FFFFFF"/>
          </w:tcPr>
          <w:p w14:paraId="74406E74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</w:t>
            </w:r>
          </w:p>
        </w:tc>
        <w:tc>
          <w:tcPr>
            <w:tcW w:w="1584" w:type="dxa"/>
            <w:shd w:fill="FFFFFF"/>
          </w:tcPr>
          <w:p w14:paraId="66DA5AE3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Increased slip/trip or collision risk</w:t>
            </w:r>
          </w:p>
        </w:tc>
        <w:tc>
          <w:tcPr>
            <w:tcW w:w="576" w:type="dxa"/>
            <w:shd w:fill="FFFFFF"/>
          </w:tcPr>
          <w:p w14:paraId="61DDB551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FFFFF"/>
          </w:tcPr>
          <w:p w14:paraId="1181D220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3C66C61B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4DCAC14A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Avoid dusk/dark operations where possible; task lighting provided; high visibility clothing worn.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4A17460C" w14:textId="77777777" w:rsidTr="0032387F">
        <w:trPr>
          <w:jc w:val="center"/>
          <w:cantSplit/>
        </w:trPr>
        <w:tc>
          <w:tcPr>
            <w:tcW w:w="1368" w:type="dxa"/>
            <w:shd w:fill="F4F0F7"/>
          </w:tcPr>
          <w:p w14:paraId="62464C2A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lastRenderedPageBreak/>
              <w:t>Third-party contractor interface</w:t>
            </w:r>
          </w:p>
        </w:tc>
        <w:tc>
          <w:tcPr>
            <w:tcW w:w="1080" w:type="dxa"/>
            <w:shd w:fill="F4F0F7"/>
          </w:tcPr>
          <w:p w14:paraId="3DE4C5D1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Operatives, public</w:t>
            </w:r>
          </w:p>
        </w:tc>
        <w:tc>
          <w:tcPr>
            <w:tcW w:w="1584" w:type="dxa"/>
            <w:shd w:fill="F4F0F7"/>
          </w:tcPr>
          <w:p w14:paraId="0C85C59C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Miscommunication leading to injury</w:t>
            </w:r>
          </w:p>
        </w:tc>
        <w:tc>
          <w:tcPr>
            <w:tcW w:w="576" w:type="dxa"/>
            <w:shd w:fill="F4F0F7"/>
          </w:tcPr>
          <w:p w14:paraId="02FAAD9E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4F0F7"/>
          </w:tcPr>
          <w:p w14:paraId="65E345DC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5AFC035B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4F0F7"/>
          </w:tcPr>
          <w:p w14:paraId="1119A343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Coordination meeting held; roles defined; no simultaneous hazardous operations without agreement; communication maintained.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32387F" w:rsidRPr="0032387F" w14:paraId="1C4243A3" w14:textId="77777777" w:rsidTr="0032387F">
        <w:trPr>
          <w:jc w:val="center"/>
          <w:cantSplit/>
        </w:trPr>
        <w:tc>
          <w:tcPr>
            <w:tcW w:w="1368" w:type="dxa"/>
            <w:shd w:fill="FFFFFF"/>
          </w:tcPr>
          <w:p w14:paraId="79E708A8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Environmental contamination</w:t>
            </w:r>
          </w:p>
        </w:tc>
        <w:tc>
          <w:tcPr>
            <w:tcW w:w="1080" w:type="dxa"/>
            <w:shd w:fill="FFFFFF"/>
          </w:tcPr>
          <w:p w14:paraId="2F440E1E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Environment</w:t>
            </w:r>
          </w:p>
        </w:tc>
        <w:tc>
          <w:tcPr>
            <w:tcW w:w="1584" w:type="dxa"/>
            <w:shd w:fill="FFFFFF"/>
          </w:tcPr>
          <w:p w14:paraId="60DE5CC1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Fuel/oil spill entering drains or water</w:t>
            </w:r>
          </w:p>
        </w:tc>
        <w:tc>
          <w:tcPr>
            <w:tcW w:w="576" w:type="dxa"/>
            <w:shd w:fill="FFFFFF"/>
          </w:tcPr>
          <w:p w14:paraId="4D99395F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fill="FFFFFF"/>
          </w:tcPr>
          <w:p w14:paraId="0A3AC283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B44DCA2" w14:textId="77777777" w:rsidR="0032387F" w:rsidRPr="0032387F" w:rsidRDefault="0032387F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6BD0D970" w14:textId="77777777" w:rsidR="0032387F" w:rsidRPr="0032387F" w:rsidRDefault="0032387F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32387F">
              <w:rPr>
                <w:rFonts w:ascii="Aptos" w:hAnsi="Aptos" w:eastAsia="Aptos" w:cs="Aptos"/>
                <w:sz w:val="20"/>
                <w:szCs w:val="20"/>
              </w:rPr>
              <w:t>Refuel away from drains; spill kits available; drip trays used; contaminated waste disposed via licensed contractor; incidents reported.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</w:tbl>
    <w:p w14:paraId="4EEFF167" w14:textId="77777777" w:rsidR="002E7FBD" w:rsidRPr="0032387F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32387F">
        <w:rPr>
          <w:rFonts w:ascii="Aptos" w:hAnsi="Aptos" w:eastAsia="Aptos" w:cs="Aptos"/>
          <w:color w:val="auto"/>
          <w:sz w:val="20"/>
          <w:szCs w:val="20"/>
        </w:rPr>
        <w:t>9. Review &amp; Monitoring</w:t>
      </w:r>
    </w:p>
    <w:p w14:paraId="660CD941" w14:textId="77777777" w:rsidR="002E7FBD" w:rsidRPr="0032387F" w:rsidRDefault="00000000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t>This GRA must be reviewed annually, following any incident, legislative update or significant change in work practices.</w:t>
      </w:r>
    </w:p>
    <w:p w14:paraId="15F76E7A" w14:textId="565E3187" w:rsidR="0032387F" w:rsidRPr="0032387F" w:rsidRDefault="00000000" w:rsidP="0032387F">
      <w:pPr>
        <w:rPr>
          <w:rFonts w:ascii="Aptos Display" w:hAnsi="Aptos Display"/>
          <w:sz w:val="20"/>
          <w:szCs w:val="20"/>
        </w:rPr>
      </w:pPr>
      <w:r w:rsidRPr="0032387F">
        <w:rPr>
          <w:rFonts w:ascii="Aptos" w:hAnsi="Aptos" w:eastAsia="Aptos" w:cs="Aptos"/>
          <w:sz w:val="20"/>
          <w:szCs w:val="20"/>
        </w:rPr>
        <w:br/>
      </w:r>
    </w:p>
    <w:p w14:paraId="10238301" w14:textId="2915BFA4" w:rsidR="002E7FBD" w:rsidRPr="0032387F" w:rsidRDefault="002E7FBD">
      <w:pPr>
        <w:rPr>
          <w:rFonts w:ascii="Aptos Display" w:hAnsi="Aptos Display"/>
          <w:sz w:val="20"/>
          <w:szCs w:val="20"/>
        </w:rPr>
      </w:pPr>
    </w:p>
    <w:sectPr w:rsidR="002E7FBD" w:rsidRPr="0032387F" w:rsidSect="0032387F">
      <w:headerReference w:type="default" r:id="rId8"/>
      <w:footerReference w:type="default" r:id="rId9"/>
      <w:pgSz w:w="15840" w:h="1222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4C0C2" w14:textId="77777777" w:rsidR="00EE7129" w:rsidRDefault="00EE7129" w:rsidP="0032387F">
      <w:pPr>
        <w:spacing w:after="0" w:line="240" w:lineRule="auto"/>
      </w:pPr>
      <w:r>
        <w:separator/>
      </w:r>
    </w:p>
  </w:endnote>
  <w:endnote w:type="continuationSeparator" w:id="0">
    <w:p w14:paraId="1C87B67A" w14:textId="77777777" w:rsidR="00EE7129" w:rsidRDefault="00EE7129" w:rsidP="0032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DE9DE" w14:textId="77777777" w:rsidR="0032387F" w:rsidRPr="0032387F" w:rsidRDefault="0032387F" w:rsidP="0032387F">
    <w:pPr>
      <w:spacing w:after="0"/>
      <w:rPr>
        <w:rFonts w:ascii="Aptos Display" w:hAnsi="Aptos Display"/>
        <w:color w:val="FF0000"/>
        <w:sz w:val="16"/>
        <w:szCs w:val="16"/>
      </w:rPr>
    </w:pPr>
    <w:r w:rsidRPr="0032387F">
      <w:rPr>
        <w:rFonts w:ascii="Aptos" w:hAnsi="Aptos" w:eastAsia="Aptos" w:cs="Aptos"/>
        <w:color w:val="FF0000"/>
        <w:sz w:val="20"/>
        <w:szCs w:val="16"/>
      </w:rPr>
      <w:t>[COMPANY NAME] – GRA Common Worksite Hazards - ARB-GRA-24</w:t>
    </w:r>
  </w:p>
  <w:p w14:paraId="6EC1D0BF" w14:textId="77777777" w:rsidR="0032387F" w:rsidRPr="0032387F" w:rsidRDefault="0032387F" w:rsidP="0032387F">
    <w:pPr>
      <w:spacing w:after="0"/>
      <w:rPr>
        <w:rFonts w:ascii="Aptos Display" w:hAnsi="Aptos Display"/>
        <w:color w:val="FF0000"/>
        <w:sz w:val="16"/>
        <w:szCs w:val="16"/>
      </w:rPr>
    </w:pPr>
    <w:r w:rsidRPr="0032387F">
      <w:rPr>
        <w:rFonts w:ascii="Aptos" w:hAnsi="Aptos" w:eastAsia="Aptos" w:cs="Aptos"/>
        <w:color w:val="FF0000"/>
        <w:sz w:val="20"/>
        <w:szCs w:val="16"/>
      </w:rPr>
      <w:t>Version: [</w:t>
    </w:r>
    <w:proofErr w:type="gramStart"/>
    <w:r w:rsidRPr="0032387F">
      <w:rPr>
        <w:rFonts w:ascii="Aptos" w:hAnsi="Aptos" w:eastAsia="Aptos" w:cs="Aptos"/>
        <w:color w:val="FF0000"/>
        <w:sz w:val="20"/>
        <w:szCs w:val="16"/>
      </w:rPr>
      <w:t xml:space="preserve">VERSION]   </w:t>
    </w:r>
    <w:proofErr w:type="gramEnd"/>
    <w:r w:rsidRPr="0032387F">
      <w:rPr>
        <w:rFonts w:ascii="Aptos" w:hAnsi="Aptos" w:eastAsia="Aptos" w:cs="Aptos"/>
        <w:color w:val="FF0000"/>
        <w:sz w:val="20"/>
        <w:szCs w:val="16"/>
      </w:rPr>
      <w:t>Date Issued: [DATE]   Review Date: [REVIEW DATE]</w:t>
    </w:r>
  </w:p>
  <w:p w14:paraId="3ACCD156" w14:textId="633C89BD" w:rsidR="0032387F" w:rsidRPr="0032387F" w:rsidRDefault="0032387F" w:rsidP="0032387F">
    <w:pPr>
      <w:spacing w:after="0"/>
      <w:rPr>
        <w:rFonts w:ascii="Aptos Display" w:hAnsi="Aptos Display"/>
        <w:color w:val="FF0000"/>
        <w:sz w:val="16"/>
        <w:szCs w:val="16"/>
      </w:rPr>
    </w:pPr>
    <w:r w:rsidRPr="0032387F">
      <w:rPr>
        <w:rFonts w:ascii="Aptos" w:hAnsi="Aptos" w:eastAsia="Aptos" w:cs="Aptos"/>
        <w:color w:val="FF0000"/>
        <w:sz w:val="20"/>
        <w:szCs w:val="16"/>
      </w:rPr>
      <w:t>Not controlled when printed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AF671" w14:textId="77777777" w:rsidR="00EE7129" w:rsidRDefault="00EE7129" w:rsidP="0032387F">
      <w:pPr>
        <w:spacing w:after="0" w:line="240" w:lineRule="auto"/>
      </w:pPr>
      <w:r>
        <w:separator/>
      </w:r>
    </w:p>
  </w:footnote>
  <w:footnote w:type="continuationSeparator" w:id="0">
    <w:p w14:paraId="2464D1EF" w14:textId="77777777" w:rsidR="00EE7129" w:rsidRDefault="00EE7129" w:rsidP="00323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0D7CF" w14:textId="59D74449" w:rsidR="0032387F" w:rsidRPr="0032387F" w:rsidRDefault="0032387F" w:rsidP="0032387F">
    <w:pPr>
      <w:rPr>
        <w:rFonts w:ascii="Aptos Display" w:hAnsi="Aptos Display"/>
        <w:sz w:val="20"/>
        <w:szCs w:val="20"/>
      </w:rPr>
    </w:pPr>
    <w:r w:rsidRPr="0032387F">
      <w:rPr>
        <w:rFonts w:ascii="Aptos" w:hAnsi="Aptos" w:eastAsia="Aptos" w:cs="Aptos"/>
        <w:color w:val="FF0000"/>
        <w:sz w:val="20"/>
        <w:szCs w:val="20"/>
      </w:rPr>
      <w:t>LOGO [Insert Company Logo Here]</w:t>
    </w:r>
    <w:r w:rsidRPr="0032387F">
      <w:rPr>
        <w:rFonts w:ascii="Aptos" w:hAnsi="Aptos" w:eastAsia="Aptos" w:cs="Aptos"/>
        <w:color w:val="FF0000"/>
        <w:sz w:val="20"/>
        <w:szCs w:val="2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7752">
    <w:abstractNumId w:val="8"/>
  </w:num>
  <w:num w:numId="2" w16cid:durableId="1025406814">
    <w:abstractNumId w:val="6"/>
  </w:num>
  <w:num w:numId="3" w16cid:durableId="2036538219">
    <w:abstractNumId w:val="5"/>
  </w:num>
  <w:num w:numId="4" w16cid:durableId="561675650">
    <w:abstractNumId w:val="4"/>
  </w:num>
  <w:num w:numId="5" w16cid:durableId="1457945748">
    <w:abstractNumId w:val="7"/>
  </w:num>
  <w:num w:numId="6" w16cid:durableId="1371567706">
    <w:abstractNumId w:val="3"/>
  </w:num>
  <w:num w:numId="7" w16cid:durableId="1389497038">
    <w:abstractNumId w:val="2"/>
  </w:num>
  <w:num w:numId="8" w16cid:durableId="118381368">
    <w:abstractNumId w:val="1"/>
  </w:num>
  <w:num w:numId="9" w16cid:durableId="54344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7FBD"/>
    <w:rsid w:val="0032387F"/>
    <w:rsid w:val="00326F90"/>
    <w:rsid w:val="00342D28"/>
    <w:rsid w:val="00AA1D8D"/>
    <w:rsid w:val="00B47730"/>
    <w:rsid w:val="00B62584"/>
    <w:rsid w:val="00CB0664"/>
    <w:rsid w:val="00EB1D4C"/>
    <w:rsid w:val="00EE71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B19ADF"/>
  <w14:defaultImageDpi w14:val="300"/>
  <w15:docId w15:val="{1D0BDA1C-B63A-CD4D-973E-B4AA2A9C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ptos" w:hAnsi="Aptos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ptos" w:hAnsi="Aptos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ptos" w:hAnsi="Aptos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ptos" w:hAnsi="Apto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ptos" w:hAnsi="Aptos"/>
      <w:sz w:val="20"/>
    </w:rPr>
  </w:style>
  <w:style w:type="table" w:default="1" w:styleId="TableNormal">
    <w:name w:val="Normal Table"/>
    <w:uiPriority w:val="99"/>
    <w:semiHidden/>
    <w:unhideWhenUsed/>
    <w:rPr>
      <w:rFonts w:ascii="Aptos" w:hAnsi="Aptos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ptos" w:hAnsi="Aptos"/>
      <w:sz w:val="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ptos" w:hAnsi="Aptos"/>
      <w:sz w:val="2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" w:hAnsi="Aptos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2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ptos" w:hAnsi="Aptos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ptos" w:hAnsi="Aptos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ptos" w:hAnsi="Aptos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ptos" w:hAnsi="Aptos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ptos" w:hAnsi="Aptos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ptos" w:hAnsi="Aptos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ptos" w:hAnsi="Aptos"/>
      <w:sz w:val="20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ptos" w:hAnsi="Aptos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ptos" w:hAnsi="Aptos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ptos" w:hAnsi="Aptos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ptos" w:hAnsi="Aptos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ptos" w:hAnsi="Aptos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ptos" w:hAnsi="Aptos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ptos" w:hAnsi="Aptos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ptos" w:hAnsi="Aptos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ptos" w:hAnsi="Aptos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ptos" w:hAnsi="Apto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ptos" w:hAnsi="Apto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ptos" w:hAnsi="Aptos"/>
      <w:i/>
      <w:i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ptos" w:hAnsi="Aptos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ptos" w:hAnsi="Aptos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ptos" w:hAnsi="Apto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ptos" w:hAnsi="Aptos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ptos" w:hAnsi="Aptos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FC693F"/>
    <w:rPr>
      <w:rFonts w:ascii="Aptos" w:hAnsi="Aptos"/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ptos" w:hAnsi="Aptos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ptos" w:hAnsi="Aptos"/>
      <w:b/>
      <w:bCs/>
      <w:i/>
      <w:iCs/>
      <w:color w:val="4F81BD" w:themeColor="accent1"/>
      <w:sz w:val="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ptos" w:hAnsi="Aptos"/>
      <w:i/>
      <w:iCs/>
      <w:color w:val="808080" w:themeColor="text1" w:themeTint="7F"/>
      <w:sz w:val="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ptos" w:hAnsi="Aptos"/>
      <w:b/>
      <w:bCs/>
      <w:i/>
      <w:iCs/>
      <w:color w:val="4F81BD" w:themeColor="accent1"/>
      <w:sz w:val="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ptos" w:hAnsi="Aptos"/>
      <w:smallCaps/>
      <w:color w:val="C0504D" w:themeColor="accent2"/>
      <w:sz w:val="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ptos" w:hAnsi="Aptos"/>
      <w:b/>
      <w:bCs/>
      <w:smallCaps/>
      <w:color w:val="C0504D" w:themeColor="accent2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ptos" w:hAnsi="Aptos"/>
      <w:b/>
      <w:bCs/>
      <w:smallCaps/>
      <w:spacing w:val="5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ptos" w:hAnsi="Aptos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ptos" w:hAnsi="Aptos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ptos" w:hAnsi="Aptos"/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ptos" w:hAnsi="Aptos"/>
      <w:color w:val="365F91" w:themeColor="accent1" w:themeShade="BF"/>
      <w:sz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ptos" w:hAnsi="Aptos"/>
      <w:color w:val="943634" w:themeColor="accent2" w:themeShade="BF"/>
      <w:sz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ptos" w:hAnsi="Aptos"/>
      <w:color w:val="76923C" w:themeColor="accent3" w:themeShade="BF"/>
      <w:sz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ptos" w:hAnsi="Aptos"/>
      <w:color w:val="5F497A" w:themeColor="accent4" w:themeShade="BF"/>
      <w:sz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ptos" w:hAnsi="Aptos"/>
      <w:color w:val="31849B" w:themeColor="accent5" w:themeShade="BF"/>
      <w:sz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ptos" w:hAnsi="Aptos"/>
      <w:color w:val="E36C0A" w:themeColor="accent6" w:themeShade="BF"/>
      <w:sz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Arborella Consultancy Ltd</cp:lastModifiedBy>
  <cp:revision>3</cp:revision>
  <dcterms:created xsi:type="dcterms:W3CDTF">2026-02-15T14:48:00Z</dcterms:created>
  <dcterms:modified xsi:type="dcterms:W3CDTF">2026-02-15T14:50:00Z</dcterms:modified>
  <cp:category/>
</cp:coreProperties>
</file>