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D162C0" w14:textId="77777777" w:rsidR="00E70C4A" w:rsidRDefault="00000000">
      <w:pPr>
        <w:spacing w:after="60"/>
        <w:jc w:val="center"/>
      </w:pPr>
      <w:r>
        <w:rPr>
          <w:rFonts w:ascii="Aptos Display" w:eastAsia="Aptos Display" w:hAnsi="Aptos Display" w:cs="Aptos Display"/>
          <w:b/>
          <w:bCs/>
          <w:color w:val="FF0000"/>
          <w:sz w:val="24"/>
          <w:szCs w:val="24"/>
          <w:u w:val="single"/>
        </w:rPr>
        <w:t>COMPANY</w:t>
      </w:r>
    </w:p>
    <w:p w14:paraId="16C645E1" w14:textId="77777777" w:rsidR="00E70C4A" w:rsidRDefault="00000000">
      <w:pPr>
        <w:spacing w:after="260"/>
        <w:jc w:val="center"/>
      </w:pPr>
      <w:r>
        <w:rPr>
          <w:rFonts w:ascii="Aptos Display" w:eastAsia="Aptos Display" w:hAnsi="Aptos Display" w:cs="Aptos Display"/>
          <w:b/>
          <w:bCs/>
          <w:color w:val="000000"/>
          <w:sz w:val="22"/>
          <w:szCs w:val="22"/>
          <w:u w:val="single"/>
        </w:rPr>
        <w:t>GENERIC RISK ASSESSMENT (GRA) – TRAFFIC MANAGEMENT</w:t>
      </w:r>
    </w:p>
    <w:p w14:paraId="4F739251" w14:textId="77777777" w:rsidR="00E70C4A" w:rsidRPr="007831CA" w:rsidRDefault="00000000">
      <w:pPr>
        <w:spacing w:after="160"/>
        <w:rPr>
          <w:rFonts w:ascii="Aptos" w:hAnsi="Aptos"/>
        </w:rPr>
      </w:pPr>
      <w:r w:rsidRPr="007831CA">
        <w:rPr>
          <w:rFonts w:ascii="Aptos" w:eastAsia="Aptos Display" w:hAnsi="Aptos" w:cs="Aptos Display"/>
          <w:b/>
          <w:bCs/>
          <w:color w:val="000000"/>
        </w:rPr>
        <w:t xml:space="preserve">Activity / Task: </w:t>
      </w:r>
      <w:r w:rsidRPr="007831CA">
        <w:rPr>
          <w:rFonts w:ascii="Aptos" w:eastAsia="Aptos Display" w:hAnsi="Aptos" w:cs="Aptos Display"/>
          <w:color w:val="000000"/>
        </w:rPr>
        <w:t>Traffic Management (Signing, Lighting and Guarding of Works on or Adjacent to the Highway)</w:t>
      </w:r>
    </w:p>
    <w:p w14:paraId="1FC11581" w14:textId="77777777" w:rsidR="00E70C4A" w:rsidRPr="007831CA" w:rsidRDefault="00000000">
      <w:pPr>
        <w:spacing w:after="160"/>
        <w:rPr>
          <w:rFonts w:ascii="Aptos" w:hAnsi="Aptos"/>
        </w:rPr>
      </w:pPr>
      <w:r w:rsidRPr="007831CA">
        <w:rPr>
          <w:rFonts w:ascii="Aptos" w:eastAsia="Aptos Display" w:hAnsi="Aptos" w:cs="Aptos Display"/>
          <w:b/>
          <w:bCs/>
          <w:color w:val="000000"/>
        </w:rPr>
        <w:t xml:space="preserve">Document Ref: </w:t>
      </w:r>
      <w:r w:rsidRPr="007831CA">
        <w:rPr>
          <w:rFonts w:ascii="Aptos" w:eastAsia="Aptos Display" w:hAnsi="Aptos" w:cs="Aptos Display"/>
          <w:color w:val="000000"/>
        </w:rPr>
        <w:t>ARB-GRA-29</w:t>
      </w:r>
    </w:p>
    <w:p w14:paraId="4D62B4CD" w14:textId="77777777" w:rsidR="00E70C4A" w:rsidRPr="007831CA" w:rsidRDefault="00000000">
      <w:pPr>
        <w:spacing w:after="160"/>
        <w:rPr>
          <w:rFonts w:ascii="Aptos" w:hAnsi="Aptos"/>
        </w:rPr>
      </w:pPr>
      <w:r w:rsidRPr="007831CA">
        <w:rPr>
          <w:rFonts w:ascii="Aptos" w:eastAsia="Aptos Display" w:hAnsi="Aptos" w:cs="Aptos Display"/>
          <w:b/>
          <w:bCs/>
          <w:color w:val="FF0000"/>
        </w:rPr>
        <w:t>Version: ___    Date Issued: ___    Review Date: ___</w:t>
      </w:r>
    </w:p>
    <w:p w14:paraId="5EBF0C7D" w14:textId="77777777" w:rsidR="00E70C4A" w:rsidRPr="007831CA" w:rsidRDefault="00000000">
      <w:pPr>
        <w:spacing w:after="260"/>
        <w:rPr>
          <w:rFonts w:ascii="Aptos" w:hAnsi="Aptos"/>
        </w:rPr>
      </w:pPr>
      <w:r w:rsidRPr="007831CA">
        <w:rPr>
          <w:rFonts w:ascii="Aptos" w:eastAsia="Aptos Display" w:hAnsi="Aptos" w:cs="Aptos Display"/>
          <w:b/>
          <w:bCs/>
          <w:color w:val="FF0000"/>
        </w:rPr>
        <w:t>Assessed by: ___________________________</w:t>
      </w:r>
    </w:p>
    <w:p w14:paraId="624F0674" w14:textId="77777777" w:rsidR="00E70C4A" w:rsidRPr="007831CA" w:rsidRDefault="00000000">
      <w:pPr>
        <w:spacing w:after="100"/>
        <w:rPr>
          <w:rFonts w:ascii="Aptos" w:hAnsi="Aptos"/>
        </w:rPr>
      </w:pPr>
      <w:r w:rsidRPr="007831CA">
        <w:rPr>
          <w:rFonts w:ascii="Aptos" w:eastAsia="Aptos Display" w:hAnsi="Aptos" w:cs="Aptos Display"/>
          <w:b/>
          <w:bCs/>
          <w:color w:val="000000"/>
        </w:rPr>
        <w:t>1. Scope</w:t>
      </w:r>
    </w:p>
    <w:p w14:paraId="0CB77153" w14:textId="77777777" w:rsidR="00E70C4A" w:rsidRPr="007831CA" w:rsidRDefault="00000000">
      <w:pPr>
        <w:spacing w:after="160"/>
        <w:rPr>
          <w:rFonts w:ascii="Aptos" w:hAnsi="Aptos"/>
        </w:rPr>
      </w:pPr>
      <w:r w:rsidRPr="007831CA">
        <w:rPr>
          <w:rFonts w:ascii="Aptos" w:eastAsia="Aptos Display" w:hAnsi="Aptos" w:cs="Aptos Display"/>
          <w:color w:val="000000"/>
        </w:rPr>
        <w:t xml:space="preserve">This Generic Risk Assessment (GRA) covers the setting up, monitoring, maintenance and removal of temporary traffic management used to protect operatives and the public during </w:t>
      </w:r>
      <w:proofErr w:type="spellStart"/>
      <w:r w:rsidRPr="007831CA">
        <w:rPr>
          <w:rFonts w:ascii="Aptos" w:eastAsia="Aptos Display" w:hAnsi="Aptos" w:cs="Aptos Display"/>
          <w:color w:val="000000"/>
        </w:rPr>
        <w:t>arboricultural</w:t>
      </w:r>
      <w:proofErr w:type="spellEnd"/>
      <w:r w:rsidRPr="007831CA">
        <w:rPr>
          <w:rFonts w:ascii="Aptos" w:eastAsia="Aptos Display" w:hAnsi="Aptos" w:cs="Aptos Display"/>
          <w:color w:val="000000"/>
        </w:rPr>
        <w:t xml:space="preserve"> and vegetation management work carried out on, or adjacent to, the public highway, verges, or private roads open to vehicular traffic. It covers static and mobile works, hand-signalling (stop/go boards), and the use of signs, cones, barriers and vehicle-mounted warning equipment. This GRA must be used in conjunction with a Site-Specific Risk Assessment (SSRA) completed for each site and task, and any highway authority permit, notice or Temporary Traffic Regulation Order applicable to the works.</w:t>
      </w:r>
    </w:p>
    <w:p w14:paraId="7483472E" w14:textId="77777777" w:rsidR="00E70C4A" w:rsidRPr="007831CA" w:rsidRDefault="00000000">
      <w:pPr>
        <w:spacing w:after="100"/>
        <w:rPr>
          <w:rFonts w:ascii="Aptos" w:hAnsi="Aptos"/>
        </w:rPr>
      </w:pPr>
      <w:r w:rsidRPr="007831CA">
        <w:rPr>
          <w:rFonts w:ascii="Aptos" w:eastAsia="Aptos Display" w:hAnsi="Aptos" w:cs="Aptos Display"/>
          <w:b/>
          <w:bCs/>
          <w:color w:val="000000"/>
        </w:rPr>
        <w:t>2. Persons at risk</w:t>
      </w:r>
    </w:p>
    <w:p w14:paraId="6B4E9B3B" w14:textId="77777777" w:rsidR="00E70C4A" w:rsidRPr="007831CA" w:rsidRDefault="00000000">
      <w:pPr>
        <w:spacing w:after="260"/>
        <w:rPr>
          <w:rFonts w:ascii="Aptos" w:hAnsi="Aptos"/>
        </w:rPr>
      </w:pPr>
      <w:r w:rsidRPr="007831CA">
        <w:rPr>
          <w:rFonts w:ascii="Segoe UI Symbol" w:eastAsia="Aptos Display" w:hAnsi="Segoe UI Symbol" w:cs="Segoe UI Symbol"/>
          <w:color w:val="000000"/>
        </w:rPr>
        <w:t>☒</w:t>
      </w:r>
      <w:r w:rsidRPr="007831CA">
        <w:rPr>
          <w:rFonts w:ascii="Aptos" w:eastAsia="Aptos Display" w:hAnsi="Aptos" w:cs="Aptos Display"/>
          <w:color w:val="000000"/>
        </w:rPr>
        <w:t xml:space="preserve"> Employees    </w:t>
      </w:r>
      <w:r w:rsidRPr="007831CA">
        <w:rPr>
          <w:rFonts w:ascii="Segoe UI Symbol" w:eastAsia="Aptos Display" w:hAnsi="Segoe UI Symbol" w:cs="Segoe UI Symbol"/>
          <w:color w:val="000000"/>
        </w:rPr>
        <w:t>☒</w:t>
      </w:r>
      <w:r w:rsidRPr="007831CA">
        <w:rPr>
          <w:rFonts w:ascii="Aptos" w:eastAsia="Aptos Display" w:hAnsi="Aptos" w:cs="Aptos Display"/>
          <w:color w:val="000000"/>
        </w:rPr>
        <w:t xml:space="preserve"> Apprentices / young </w:t>
      </w:r>
      <w:proofErr w:type="spellStart"/>
      <w:r w:rsidRPr="007831CA">
        <w:rPr>
          <w:rFonts w:ascii="Aptos" w:eastAsia="Aptos Display" w:hAnsi="Aptos" w:cs="Aptos Display"/>
          <w:color w:val="000000"/>
        </w:rPr>
        <w:t>persons</w:t>
      </w:r>
      <w:proofErr w:type="spellEnd"/>
      <w:r w:rsidRPr="007831CA">
        <w:rPr>
          <w:rFonts w:ascii="Aptos" w:eastAsia="Aptos Display" w:hAnsi="Aptos" w:cs="Aptos Display"/>
          <w:color w:val="000000"/>
        </w:rPr>
        <w:t xml:space="preserve">    </w:t>
      </w:r>
      <w:r w:rsidRPr="007831CA">
        <w:rPr>
          <w:rFonts w:ascii="Segoe UI Symbol" w:eastAsia="Aptos Display" w:hAnsi="Segoe UI Symbol" w:cs="Segoe UI Symbol"/>
          <w:color w:val="000000"/>
        </w:rPr>
        <w:t>☒</w:t>
      </w:r>
      <w:r w:rsidRPr="007831CA">
        <w:rPr>
          <w:rFonts w:ascii="Aptos" w:eastAsia="Aptos Display" w:hAnsi="Aptos" w:cs="Aptos Display"/>
          <w:color w:val="000000"/>
        </w:rPr>
        <w:t xml:space="preserve"> Contractors    </w:t>
      </w:r>
      <w:r w:rsidRPr="007831CA">
        <w:rPr>
          <w:rFonts w:ascii="Segoe UI Symbol" w:eastAsia="Aptos Display" w:hAnsi="Segoe UI Symbol" w:cs="Segoe UI Symbol"/>
          <w:color w:val="000000"/>
        </w:rPr>
        <w:t>☒</w:t>
      </w:r>
      <w:r w:rsidRPr="007831CA">
        <w:rPr>
          <w:rFonts w:ascii="Aptos" w:eastAsia="Aptos Display" w:hAnsi="Aptos" w:cs="Aptos Display"/>
          <w:color w:val="000000"/>
        </w:rPr>
        <w:t xml:space="preserve"> Members of the Public    ☐ Others</w:t>
      </w:r>
    </w:p>
    <w:p w14:paraId="41A61973" w14:textId="77777777" w:rsidR="00E70C4A" w:rsidRPr="007831CA" w:rsidRDefault="00000000">
      <w:pPr>
        <w:spacing w:after="100"/>
        <w:rPr>
          <w:rFonts w:ascii="Aptos" w:hAnsi="Aptos"/>
        </w:rPr>
      </w:pPr>
      <w:r w:rsidRPr="007831CA">
        <w:rPr>
          <w:rFonts w:ascii="Aptos" w:eastAsia="Aptos Display" w:hAnsi="Aptos" w:cs="Aptos Display"/>
          <w:b/>
          <w:bCs/>
          <w:color w:val="000000"/>
        </w:rPr>
        <w:t>3. Competence and supervision</w:t>
      </w:r>
    </w:p>
    <w:p w14:paraId="1C2B23BA" w14:textId="77777777" w:rsidR="00E70C4A" w:rsidRPr="007831CA" w:rsidRDefault="00000000">
      <w:pPr>
        <w:spacing w:after="160"/>
        <w:rPr>
          <w:rFonts w:ascii="Aptos" w:hAnsi="Aptos"/>
        </w:rPr>
      </w:pPr>
      <w:r w:rsidRPr="007831CA">
        <w:rPr>
          <w:rFonts w:ascii="Aptos" w:eastAsia="Aptos Display" w:hAnsi="Aptos" w:cs="Aptos Display"/>
          <w:color w:val="000000"/>
        </w:rPr>
        <w:t xml:space="preserve">Only trained, competent and authorised staff are permitted to set up, operate or remove traffic management. Operatives must hold a recognised Traffic Safety and Control qualification (for example the </w:t>
      </w:r>
      <w:proofErr w:type="spellStart"/>
      <w:r w:rsidRPr="007831CA">
        <w:rPr>
          <w:rFonts w:ascii="Aptos" w:eastAsia="Aptos Display" w:hAnsi="Aptos" w:cs="Aptos Display"/>
          <w:color w:val="000000"/>
        </w:rPr>
        <w:t>Lantra</w:t>
      </w:r>
      <w:proofErr w:type="spellEnd"/>
      <w:r w:rsidRPr="007831CA">
        <w:rPr>
          <w:rFonts w:ascii="Aptos" w:eastAsia="Aptos Display" w:hAnsi="Aptos" w:cs="Aptos Display"/>
          <w:color w:val="000000"/>
        </w:rPr>
        <w:t xml:space="preserve"> Award in Temporary Traffic Management, or NHSS 12D/Sentinel accreditation where required by the client or highway authority) appropriate to the type and complexity of the traffic management in use. The Site Supervisor / Team Leader must confirm the traffic management layout against the Site-Specific Risk Assessment and any permit conditions, brief the team, confirm equipment checks, and stop work if conditions change (for example deteriorating visibility, weather, or increased traffic flow).</w:t>
      </w:r>
    </w:p>
    <w:p w14:paraId="3E064CF8" w14:textId="77777777" w:rsidR="00E70C4A" w:rsidRPr="007831CA" w:rsidRDefault="00000000">
      <w:pPr>
        <w:spacing w:after="100"/>
        <w:rPr>
          <w:rFonts w:ascii="Aptos" w:hAnsi="Aptos"/>
        </w:rPr>
      </w:pPr>
      <w:r w:rsidRPr="007831CA">
        <w:rPr>
          <w:rFonts w:ascii="Aptos" w:eastAsia="Aptos Display" w:hAnsi="Aptos" w:cs="Aptos Display"/>
          <w:b/>
          <w:bCs/>
          <w:color w:val="000000"/>
        </w:rPr>
        <w:t>4. PPE requirements</w:t>
      </w:r>
    </w:p>
    <w:p w14:paraId="12C39AFE" w14:textId="77777777" w:rsidR="00E70C4A" w:rsidRPr="007831CA" w:rsidRDefault="00000000">
      <w:pPr>
        <w:spacing w:after="160"/>
        <w:rPr>
          <w:rFonts w:ascii="Aptos" w:hAnsi="Aptos"/>
        </w:rPr>
      </w:pPr>
      <w:r w:rsidRPr="007831CA">
        <w:rPr>
          <w:rFonts w:ascii="Aptos" w:eastAsia="Aptos Display" w:hAnsi="Aptos" w:cs="Aptos Display"/>
          <w:b/>
          <w:bCs/>
          <w:color w:val="000000"/>
        </w:rPr>
        <w:t xml:space="preserve">Mandatory PPE (minimum): </w:t>
      </w:r>
      <w:r w:rsidRPr="007831CA">
        <w:rPr>
          <w:rFonts w:ascii="Aptos" w:eastAsia="Aptos Display" w:hAnsi="Aptos" w:cs="Aptos Display"/>
          <w:color w:val="000000"/>
        </w:rPr>
        <w:t>High-visibility clothing conforming to EN ISO 20471 Class 2/3, suitable safety footwear.</w:t>
      </w:r>
    </w:p>
    <w:p w14:paraId="751DAE07" w14:textId="77777777" w:rsidR="00E70C4A" w:rsidRPr="007831CA" w:rsidRDefault="00000000">
      <w:pPr>
        <w:spacing w:after="260"/>
        <w:rPr>
          <w:rFonts w:ascii="Aptos" w:hAnsi="Aptos"/>
        </w:rPr>
      </w:pPr>
      <w:r w:rsidRPr="007831CA">
        <w:rPr>
          <w:rFonts w:ascii="Aptos" w:eastAsia="Aptos Display" w:hAnsi="Aptos" w:cs="Aptos Display"/>
          <w:b/>
          <w:bCs/>
          <w:color w:val="000000"/>
        </w:rPr>
        <w:t xml:space="preserve">Task-specific PPE: </w:t>
      </w:r>
      <w:r w:rsidRPr="007831CA">
        <w:rPr>
          <w:rFonts w:ascii="Aptos" w:eastAsia="Aptos Display" w:hAnsi="Aptos" w:cs="Aptos Display"/>
          <w:color w:val="000000"/>
        </w:rPr>
        <w:t>Hand-signalling equipment (stop/go boards), high-visibility gloves for low-light work, head torch or additional lighting where required, hearing protection where required by noise exposure from nearby plant.</w:t>
      </w:r>
    </w:p>
    <w:p w14:paraId="0EAA45BF" w14:textId="77777777" w:rsidR="00E70C4A" w:rsidRPr="007831CA" w:rsidRDefault="00000000">
      <w:pPr>
        <w:spacing w:after="100"/>
        <w:rPr>
          <w:rFonts w:ascii="Aptos" w:hAnsi="Aptos"/>
        </w:rPr>
      </w:pPr>
      <w:r w:rsidRPr="007831CA">
        <w:rPr>
          <w:rFonts w:ascii="Aptos" w:eastAsia="Aptos Display" w:hAnsi="Aptos" w:cs="Aptos Display"/>
          <w:b/>
          <w:bCs/>
          <w:color w:val="000000"/>
        </w:rPr>
        <w:t>5. Emergency arrangements</w:t>
      </w:r>
    </w:p>
    <w:p w14:paraId="354265F6" w14:textId="77777777" w:rsidR="00E70C4A" w:rsidRPr="007831CA" w:rsidRDefault="00000000">
      <w:pPr>
        <w:spacing w:after="160"/>
        <w:rPr>
          <w:rFonts w:ascii="Aptos" w:hAnsi="Aptos"/>
        </w:rPr>
      </w:pPr>
      <w:r w:rsidRPr="007831CA">
        <w:rPr>
          <w:rFonts w:ascii="Aptos" w:eastAsia="Aptos Display" w:hAnsi="Aptos" w:cs="Aptos Display"/>
          <w:color w:val="000000"/>
        </w:rPr>
        <w:t>An emergency plan must be in place before work starts, covering the response to a vehicle incursion into the working area, injury to an operative or member of the public, and a clear means of raising the alarm (mobile phone signal, nearest safe refuge). First aid provision, emergency vehicle access/egress, and emergency contact details – including the relevant highway authority's incident line where applicable – must be confirmed before work starts.</w:t>
      </w:r>
    </w:p>
    <w:p w14:paraId="4F4E6356" w14:textId="77777777" w:rsidR="00E70C4A" w:rsidRPr="007831CA" w:rsidRDefault="00000000">
      <w:pPr>
        <w:spacing w:after="100"/>
        <w:rPr>
          <w:rFonts w:ascii="Aptos" w:hAnsi="Aptos"/>
        </w:rPr>
      </w:pPr>
      <w:r w:rsidRPr="007831CA">
        <w:rPr>
          <w:rFonts w:ascii="Aptos" w:eastAsia="Aptos Display" w:hAnsi="Aptos" w:cs="Aptos Display"/>
          <w:b/>
          <w:bCs/>
          <w:color w:val="000000"/>
        </w:rPr>
        <w:t>6. Risk Matrix &amp; Scoring</w:t>
      </w:r>
    </w:p>
    <w:p w14:paraId="0D45B356" w14:textId="77777777" w:rsidR="00E70C4A" w:rsidRPr="007831CA" w:rsidRDefault="00000000">
      <w:pPr>
        <w:spacing w:after="160"/>
        <w:rPr>
          <w:rFonts w:ascii="Aptos" w:hAnsi="Aptos"/>
        </w:rPr>
      </w:pPr>
      <w:r w:rsidRPr="007831CA">
        <w:rPr>
          <w:rFonts w:ascii="Aptos" w:eastAsia="Aptos Display" w:hAnsi="Aptos" w:cs="Aptos Display"/>
          <w:color w:val="000000"/>
        </w:rPr>
        <w:lastRenderedPageBreak/>
        <w:t>Risk is assessed using Likelihood (L) and Severity (S). Risk Rating = RR. Initial risk is before controls; residual risk is after controls.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1360"/>
        <w:gridCol w:w="1360"/>
        <w:gridCol w:w="1360"/>
        <w:gridCol w:w="1360"/>
        <w:gridCol w:w="1360"/>
      </w:tblGrid>
      <w:tr w:rsidR="00E70C4A" w:rsidRPr="007831CA" w14:paraId="6C1DACE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FD9C98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b/>
                <w:bCs/>
                <w:color w:val="000000"/>
              </w:rPr>
              <w:t>Severity ↓ / Likelihood → (RR)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6D4F75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b/>
                <w:bCs/>
                <w:color w:val="000000"/>
              </w:rPr>
              <w:t>1 Rare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8E05FB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b/>
                <w:bCs/>
                <w:color w:val="000000"/>
              </w:rPr>
              <w:t>2 Unlikely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885D27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b/>
                <w:bCs/>
                <w:color w:val="000000"/>
              </w:rPr>
              <w:t>3 Possible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6A7B62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b/>
                <w:bCs/>
                <w:color w:val="000000"/>
              </w:rPr>
              <w:t>4 Likely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0C2CC1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b/>
                <w:bCs/>
                <w:color w:val="000000"/>
              </w:rPr>
              <w:t>5 Very Likely</w:t>
            </w:r>
          </w:p>
        </w:tc>
      </w:tr>
      <w:tr w:rsidR="00E70C4A" w:rsidRPr="007831CA" w14:paraId="596CD5E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7EC3A7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b/>
                <w:bCs/>
                <w:color w:val="000000"/>
              </w:rPr>
              <w:t>1 Minor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24BE41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</w:rPr>
              <w:t>1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A37C42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</w:rPr>
              <w:t>2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E2D61B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</w:rPr>
              <w:t>3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3C9364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</w:rPr>
              <w:t>4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EF250B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</w:rPr>
              <w:t>5</w:t>
            </w:r>
          </w:p>
        </w:tc>
      </w:tr>
      <w:tr w:rsidR="00E70C4A" w:rsidRPr="007831CA" w14:paraId="3C36799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5821D8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b/>
                <w:bCs/>
                <w:color w:val="000000"/>
              </w:rPr>
              <w:t>2 First Aid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172426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</w:rPr>
              <w:t>2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D2A6FD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</w:rPr>
              <w:t>4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5D01F1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</w:rPr>
              <w:t>6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203FB6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</w:rPr>
              <w:t>8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38F5B1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</w:rPr>
              <w:t>10</w:t>
            </w:r>
          </w:p>
        </w:tc>
      </w:tr>
      <w:tr w:rsidR="00E70C4A" w:rsidRPr="007831CA" w14:paraId="796B367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E289AB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b/>
                <w:bCs/>
                <w:color w:val="000000"/>
              </w:rPr>
              <w:t>3 Medical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C81E5D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</w:rPr>
              <w:t>3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41CD4B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</w:rPr>
              <w:t>6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6DAB96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</w:rPr>
              <w:t>9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5C5E33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</w:rPr>
              <w:t>12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96BA05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</w:rPr>
              <w:t>15</w:t>
            </w:r>
          </w:p>
        </w:tc>
      </w:tr>
      <w:tr w:rsidR="00E70C4A" w:rsidRPr="007831CA" w14:paraId="5704DF1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148B15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b/>
                <w:bCs/>
                <w:color w:val="000000"/>
              </w:rPr>
              <w:t>4 Major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286C09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</w:rPr>
              <w:t>4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C57315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</w:rPr>
              <w:t>8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DCAFFE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</w:rPr>
              <w:t>12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586211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</w:rPr>
              <w:t>16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B6E1E4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</w:rPr>
              <w:t>20</w:t>
            </w:r>
          </w:p>
        </w:tc>
      </w:tr>
      <w:tr w:rsidR="00E70C4A" w:rsidRPr="007831CA" w14:paraId="68A84C3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F03BF7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b/>
                <w:bCs/>
                <w:color w:val="000000"/>
              </w:rPr>
              <w:t>5 Fatal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396A2A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</w:rPr>
              <w:t>5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AABBA0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</w:rPr>
              <w:t>10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ECD851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</w:rPr>
              <w:t>15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338A8C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</w:rPr>
              <w:t>20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56DEA5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</w:rPr>
              <w:t>25</w:t>
            </w:r>
          </w:p>
        </w:tc>
      </w:tr>
    </w:tbl>
    <w:p w14:paraId="1B809F84" w14:textId="77777777" w:rsidR="00E70C4A" w:rsidRPr="007831CA" w:rsidRDefault="00E70C4A">
      <w:pPr>
        <w:spacing w:after="160"/>
        <w:rPr>
          <w:rFonts w:ascii="Aptos" w:hAnsi="Aptos"/>
        </w:rPr>
      </w:pPr>
    </w:p>
    <w:p w14:paraId="30745402" w14:textId="77777777" w:rsidR="00E70C4A" w:rsidRPr="007831CA" w:rsidRDefault="00000000">
      <w:pPr>
        <w:spacing w:after="260"/>
        <w:rPr>
          <w:rFonts w:ascii="Aptos" w:hAnsi="Aptos"/>
        </w:rPr>
      </w:pPr>
      <w:r w:rsidRPr="007831CA">
        <w:rPr>
          <w:rFonts w:ascii="Aptos" w:eastAsia="Aptos Display" w:hAnsi="Aptos" w:cs="Aptos Display"/>
          <w:color w:val="000000"/>
        </w:rPr>
        <w:t>Risk bands: 1–4 Low | 5–9 Medium | 10–16 High | 17–25 Intolerable</w:t>
      </w:r>
    </w:p>
    <w:p w14:paraId="79C7AE62" w14:textId="77777777" w:rsidR="00E70C4A" w:rsidRPr="007831CA" w:rsidRDefault="00000000">
      <w:pPr>
        <w:spacing w:after="100"/>
        <w:rPr>
          <w:rFonts w:ascii="Aptos" w:hAnsi="Aptos"/>
        </w:rPr>
      </w:pPr>
      <w:r w:rsidRPr="007831CA">
        <w:rPr>
          <w:rFonts w:ascii="Aptos" w:eastAsia="Aptos Display" w:hAnsi="Aptos" w:cs="Aptos Display"/>
          <w:b/>
          <w:bCs/>
          <w:color w:val="000000"/>
        </w:rPr>
        <w:t>7. Relevant UK Legislation, Guidance &amp; Good Practice</w:t>
      </w:r>
    </w:p>
    <w:p w14:paraId="7C79E7C0" w14:textId="77777777" w:rsidR="00E70C4A" w:rsidRPr="007831CA" w:rsidRDefault="00000000">
      <w:pPr>
        <w:spacing w:after="160"/>
        <w:rPr>
          <w:rFonts w:ascii="Aptos" w:hAnsi="Aptos"/>
        </w:rPr>
      </w:pPr>
      <w:r w:rsidRPr="007831CA">
        <w:rPr>
          <w:rFonts w:ascii="Aptos" w:eastAsia="Aptos Display" w:hAnsi="Aptos" w:cs="Aptos Display"/>
          <w:color w:val="000000"/>
        </w:rPr>
        <w:t>This Generic Risk Assessment has been prepared in accordance with applicable UK health and safety legislation and recognised industry guidance, including (where applicable):</w:t>
      </w:r>
    </w:p>
    <w:p w14:paraId="6BBC9E38" w14:textId="77777777" w:rsidR="00E70C4A" w:rsidRPr="007831CA" w:rsidRDefault="00000000">
      <w:pPr>
        <w:spacing w:after="100"/>
        <w:rPr>
          <w:rFonts w:ascii="Aptos" w:hAnsi="Aptos"/>
        </w:rPr>
      </w:pPr>
      <w:r w:rsidRPr="007831CA">
        <w:rPr>
          <w:rFonts w:ascii="Aptos" w:eastAsia="Aptos Display" w:hAnsi="Aptos" w:cs="Aptos Display"/>
          <w:b/>
          <w:bCs/>
          <w:color w:val="000000"/>
        </w:rPr>
        <w:t>Legislation</w:t>
      </w:r>
    </w:p>
    <w:p w14:paraId="3E0EB2B8" w14:textId="77777777" w:rsidR="00E70C4A" w:rsidRPr="007831CA" w:rsidRDefault="00000000">
      <w:pPr>
        <w:pStyle w:val="ListParagraph"/>
        <w:numPr>
          <w:ilvl w:val="0"/>
          <w:numId w:val="1"/>
        </w:numPr>
        <w:spacing w:after="100"/>
        <w:rPr>
          <w:rFonts w:ascii="Aptos" w:hAnsi="Aptos"/>
        </w:rPr>
      </w:pPr>
      <w:r w:rsidRPr="007831CA">
        <w:rPr>
          <w:rFonts w:ascii="Aptos" w:eastAsia="Aptos Display" w:hAnsi="Aptos" w:cs="Aptos Display"/>
          <w:color w:val="000000"/>
        </w:rPr>
        <w:t>Health and Safety at Work etc. Act 1974</w:t>
      </w:r>
    </w:p>
    <w:p w14:paraId="54EB17BB" w14:textId="77777777" w:rsidR="00E70C4A" w:rsidRPr="007831CA" w:rsidRDefault="00000000">
      <w:pPr>
        <w:pStyle w:val="ListParagraph"/>
        <w:numPr>
          <w:ilvl w:val="0"/>
          <w:numId w:val="1"/>
        </w:numPr>
        <w:spacing w:after="100"/>
        <w:rPr>
          <w:rFonts w:ascii="Aptos" w:hAnsi="Aptos"/>
        </w:rPr>
      </w:pPr>
      <w:r w:rsidRPr="007831CA">
        <w:rPr>
          <w:rFonts w:ascii="Aptos" w:eastAsia="Aptos Display" w:hAnsi="Aptos" w:cs="Aptos Display"/>
          <w:color w:val="000000"/>
        </w:rPr>
        <w:t>Management of Health and Safety at Work Regulations 1999</w:t>
      </w:r>
    </w:p>
    <w:p w14:paraId="59FA476F" w14:textId="77777777" w:rsidR="00E70C4A" w:rsidRPr="007831CA" w:rsidRDefault="00000000">
      <w:pPr>
        <w:pStyle w:val="ListParagraph"/>
        <w:numPr>
          <w:ilvl w:val="0"/>
          <w:numId w:val="1"/>
        </w:numPr>
        <w:spacing w:after="100"/>
        <w:rPr>
          <w:rFonts w:ascii="Aptos" w:hAnsi="Aptos"/>
        </w:rPr>
      </w:pPr>
      <w:r w:rsidRPr="007831CA">
        <w:rPr>
          <w:rFonts w:ascii="Aptos" w:eastAsia="Aptos Display" w:hAnsi="Aptos" w:cs="Aptos Display"/>
          <w:color w:val="000000"/>
        </w:rPr>
        <w:t>Provision and Use of Work Equipment Regulations 1998 (PUWER)</w:t>
      </w:r>
    </w:p>
    <w:p w14:paraId="719359BE" w14:textId="77777777" w:rsidR="00E70C4A" w:rsidRPr="007831CA" w:rsidRDefault="00000000">
      <w:pPr>
        <w:pStyle w:val="ListParagraph"/>
        <w:numPr>
          <w:ilvl w:val="0"/>
          <w:numId w:val="1"/>
        </w:numPr>
        <w:spacing w:after="100"/>
        <w:rPr>
          <w:rFonts w:ascii="Aptos" w:hAnsi="Aptos"/>
        </w:rPr>
      </w:pPr>
      <w:r w:rsidRPr="007831CA">
        <w:rPr>
          <w:rFonts w:ascii="Aptos" w:eastAsia="Aptos Display" w:hAnsi="Aptos" w:cs="Aptos Display"/>
          <w:color w:val="000000"/>
        </w:rPr>
        <w:t>New Roads and Street Works Act 1991 (NRSWA) – permits and notices for works affecting the highway</w:t>
      </w:r>
    </w:p>
    <w:p w14:paraId="3CE6C7DB" w14:textId="77777777" w:rsidR="00E70C4A" w:rsidRPr="007831CA" w:rsidRDefault="00000000">
      <w:pPr>
        <w:pStyle w:val="ListParagraph"/>
        <w:numPr>
          <w:ilvl w:val="0"/>
          <w:numId w:val="1"/>
        </w:numPr>
        <w:spacing w:after="100"/>
        <w:rPr>
          <w:rFonts w:ascii="Aptos" w:hAnsi="Aptos"/>
        </w:rPr>
      </w:pPr>
      <w:r w:rsidRPr="007831CA">
        <w:rPr>
          <w:rFonts w:ascii="Aptos" w:eastAsia="Aptos Display" w:hAnsi="Aptos" w:cs="Aptos Display"/>
          <w:color w:val="000000"/>
        </w:rPr>
        <w:t>Highways Act 1980, section 174 – duty to properly guard, light and sign works on the highway</w:t>
      </w:r>
    </w:p>
    <w:p w14:paraId="7C8E03BB" w14:textId="77777777" w:rsidR="00E70C4A" w:rsidRPr="007831CA" w:rsidRDefault="00000000">
      <w:pPr>
        <w:pStyle w:val="ListParagraph"/>
        <w:numPr>
          <w:ilvl w:val="0"/>
          <w:numId w:val="1"/>
        </w:numPr>
        <w:spacing w:after="100"/>
        <w:rPr>
          <w:rFonts w:ascii="Aptos" w:hAnsi="Aptos"/>
        </w:rPr>
      </w:pPr>
      <w:r w:rsidRPr="007831CA">
        <w:rPr>
          <w:rFonts w:ascii="Aptos" w:eastAsia="Aptos Display" w:hAnsi="Aptos" w:cs="Aptos Display"/>
          <w:color w:val="000000"/>
        </w:rPr>
        <w:t>Traffic Signs Regulations and General Directions (TSRGD) 2016 – specification and lawful use of traffic signs</w:t>
      </w:r>
    </w:p>
    <w:p w14:paraId="6F3221B4" w14:textId="77777777" w:rsidR="00E70C4A" w:rsidRPr="007831CA" w:rsidRDefault="00000000">
      <w:pPr>
        <w:pStyle w:val="ListParagraph"/>
        <w:numPr>
          <w:ilvl w:val="0"/>
          <w:numId w:val="1"/>
        </w:numPr>
        <w:spacing w:after="100"/>
        <w:rPr>
          <w:rFonts w:ascii="Aptos" w:hAnsi="Aptos"/>
        </w:rPr>
      </w:pPr>
      <w:r w:rsidRPr="007831CA">
        <w:rPr>
          <w:rFonts w:ascii="Aptos" w:eastAsia="Aptos Display" w:hAnsi="Aptos" w:cs="Aptos Display"/>
          <w:color w:val="000000"/>
        </w:rPr>
        <w:t>Road Traffic Regulation Act 1984 (where a Temporary Traffic Regulation Order or road closure is used)</w:t>
      </w:r>
    </w:p>
    <w:p w14:paraId="7143F17F" w14:textId="77777777" w:rsidR="00E70C4A" w:rsidRPr="007831CA" w:rsidRDefault="00000000">
      <w:pPr>
        <w:pStyle w:val="ListParagraph"/>
        <w:numPr>
          <w:ilvl w:val="0"/>
          <w:numId w:val="1"/>
        </w:numPr>
        <w:spacing w:after="100"/>
        <w:rPr>
          <w:rFonts w:ascii="Aptos" w:hAnsi="Aptos"/>
        </w:rPr>
      </w:pPr>
      <w:r w:rsidRPr="007831CA">
        <w:rPr>
          <w:rFonts w:ascii="Aptos" w:eastAsia="Aptos Display" w:hAnsi="Aptos" w:cs="Aptos Display"/>
          <w:color w:val="000000"/>
        </w:rPr>
        <w:t>Health and Safety (Safety Signs and Signals) Regulations 1996</w:t>
      </w:r>
    </w:p>
    <w:p w14:paraId="56947FC2" w14:textId="77777777" w:rsidR="00E70C4A" w:rsidRPr="007831CA" w:rsidRDefault="00E70C4A">
      <w:pPr>
        <w:spacing w:after="160"/>
        <w:rPr>
          <w:rFonts w:ascii="Aptos" w:hAnsi="Aptos"/>
        </w:rPr>
      </w:pPr>
    </w:p>
    <w:p w14:paraId="19F6219A" w14:textId="77777777" w:rsidR="00E70C4A" w:rsidRPr="007831CA" w:rsidRDefault="00000000">
      <w:pPr>
        <w:spacing w:after="100"/>
        <w:rPr>
          <w:rFonts w:ascii="Aptos" w:hAnsi="Aptos"/>
        </w:rPr>
      </w:pPr>
      <w:r w:rsidRPr="007831CA">
        <w:rPr>
          <w:rFonts w:ascii="Aptos" w:eastAsia="Aptos Display" w:hAnsi="Aptos" w:cs="Aptos Display"/>
          <w:b/>
          <w:bCs/>
          <w:color w:val="000000"/>
        </w:rPr>
        <w:t>Industry guidance and publications</w:t>
      </w:r>
    </w:p>
    <w:p w14:paraId="1273C88C" w14:textId="77777777" w:rsidR="00E70C4A" w:rsidRPr="007831CA" w:rsidRDefault="00000000">
      <w:pPr>
        <w:pStyle w:val="ListParagraph"/>
        <w:numPr>
          <w:ilvl w:val="0"/>
          <w:numId w:val="1"/>
        </w:numPr>
        <w:spacing w:after="100"/>
        <w:rPr>
          <w:rFonts w:ascii="Aptos" w:hAnsi="Aptos"/>
        </w:rPr>
      </w:pPr>
      <w:r w:rsidRPr="007831CA">
        <w:rPr>
          <w:rFonts w:ascii="Aptos" w:eastAsia="Aptos Display" w:hAnsi="Aptos" w:cs="Aptos Display"/>
          <w:color w:val="000000"/>
        </w:rPr>
        <w:t>Safety at Street Works and Road Works: A Code of Practice (Department for Transport) – has legal backing under sections 65 and 124 of the New Roads and Street Works Act 1991</w:t>
      </w:r>
    </w:p>
    <w:p w14:paraId="7EE14DCA" w14:textId="77777777" w:rsidR="00E70C4A" w:rsidRPr="007831CA" w:rsidRDefault="00000000">
      <w:pPr>
        <w:pStyle w:val="ListParagraph"/>
        <w:numPr>
          <w:ilvl w:val="0"/>
          <w:numId w:val="1"/>
        </w:numPr>
        <w:spacing w:after="100"/>
        <w:rPr>
          <w:rFonts w:ascii="Aptos" w:hAnsi="Aptos"/>
        </w:rPr>
      </w:pPr>
      <w:r w:rsidRPr="007831CA">
        <w:rPr>
          <w:rFonts w:ascii="Aptos" w:eastAsia="Aptos Display" w:hAnsi="Aptos" w:cs="Aptos Display"/>
          <w:color w:val="000000"/>
        </w:rPr>
        <w:t>Traffic Signs Manual, Chapter 8: Traffic Safety Measures and Signs for Road Works and Temporary Situations, Parts 1 (Design) and 2 (Operations) (Department for Transport)</w:t>
      </w:r>
    </w:p>
    <w:p w14:paraId="247241A9" w14:textId="77777777" w:rsidR="00E70C4A" w:rsidRPr="007831CA" w:rsidRDefault="00000000">
      <w:pPr>
        <w:pStyle w:val="ListParagraph"/>
        <w:numPr>
          <w:ilvl w:val="0"/>
          <w:numId w:val="1"/>
        </w:numPr>
        <w:spacing w:after="100"/>
        <w:rPr>
          <w:rFonts w:ascii="Aptos" w:hAnsi="Aptos"/>
        </w:rPr>
      </w:pPr>
      <w:r w:rsidRPr="007831CA">
        <w:rPr>
          <w:rFonts w:ascii="Aptos" w:eastAsia="Aptos Display" w:hAnsi="Aptos" w:cs="Aptos Display"/>
          <w:color w:val="000000"/>
        </w:rPr>
        <w:t>HSE guidance on health and safety in road works</w:t>
      </w:r>
    </w:p>
    <w:p w14:paraId="4E4DACDC" w14:textId="77777777" w:rsidR="00E70C4A" w:rsidRPr="007831CA" w:rsidRDefault="00000000">
      <w:pPr>
        <w:pStyle w:val="ListParagraph"/>
        <w:numPr>
          <w:ilvl w:val="0"/>
          <w:numId w:val="1"/>
        </w:numPr>
        <w:spacing w:after="100"/>
        <w:rPr>
          <w:rFonts w:ascii="Aptos" w:hAnsi="Aptos"/>
        </w:rPr>
      </w:pPr>
      <w:r w:rsidRPr="007831CA">
        <w:rPr>
          <w:rFonts w:ascii="Aptos" w:eastAsia="Aptos Display" w:hAnsi="Aptos" w:cs="Aptos Display"/>
          <w:color w:val="000000"/>
        </w:rPr>
        <w:lastRenderedPageBreak/>
        <w:t>National Highways Sector Scheme 12 (NHSS 12) – Traffic Safety and Control (signing, lighting and guarding equipment and operatives)</w:t>
      </w:r>
    </w:p>
    <w:p w14:paraId="14ED642B" w14:textId="77777777" w:rsidR="00E70C4A" w:rsidRPr="007831CA" w:rsidRDefault="00000000">
      <w:pPr>
        <w:pStyle w:val="ListParagraph"/>
        <w:numPr>
          <w:ilvl w:val="0"/>
          <w:numId w:val="1"/>
        </w:numPr>
        <w:spacing w:after="100"/>
        <w:rPr>
          <w:rFonts w:ascii="Aptos" w:hAnsi="Aptos"/>
        </w:rPr>
      </w:pPr>
      <w:r w:rsidRPr="007831CA">
        <w:rPr>
          <w:rFonts w:ascii="Aptos" w:eastAsia="Aptos Display" w:hAnsi="Aptos" w:cs="Aptos Display"/>
          <w:color w:val="000000"/>
        </w:rPr>
        <w:t>Sentinel scheme – National Highways worker safety accreditation, where work is carried out on the strategic road network</w:t>
      </w:r>
    </w:p>
    <w:p w14:paraId="72287CD7" w14:textId="77777777" w:rsidR="00E70C4A" w:rsidRPr="007831CA" w:rsidRDefault="00000000">
      <w:pPr>
        <w:pStyle w:val="ListParagraph"/>
        <w:numPr>
          <w:ilvl w:val="0"/>
          <w:numId w:val="1"/>
        </w:numPr>
        <w:spacing w:after="100"/>
        <w:rPr>
          <w:rFonts w:ascii="Aptos" w:hAnsi="Aptos"/>
        </w:rPr>
      </w:pPr>
      <w:proofErr w:type="spellStart"/>
      <w:r w:rsidRPr="007831CA">
        <w:rPr>
          <w:rFonts w:ascii="Aptos" w:eastAsia="Aptos Display" w:hAnsi="Aptos" w:cs="Aptos Display"/>
          <w:color w:val="000000"/>
        </w:rPr>
        <w:t>Lantra</w:t>
      </w:r>
      <w:proofErr w:type="spellEnd"/>
      <w:r w:rsidRPr="007831CA">
        <w:rPr>
          <w:rFonts w:ascii="Aptos" w:eastAsia="Aptos Display" w:hAnsi="Aptos" w:cs="Aptos Display"/>
          <w:color w:val="000000"/>
        </w:rPr>
        <w:t xml:space="preserve"> Award in Temporary Traffic Management, or equivalent recognised qualification</w:t>
      </w:r>
    </w:p>
    <w:p w14:paraId="164A3F4A" w14:textId="77777777" w:rsidR="00E70C4A" w:rsidRPr="007831CA" w:rsidRDefault="00000000">
      <w:pPr>
        <w:pStyle w:val="ListParagraph"/>
        <w:numPr>
          <w:ilvl w:val="0"/>
          <w:numId w:val="1"/>
        </w:numPr>
        <w:spacing w:after="100"/>
        <w:rPr>
          <w:rFonts w:ascii="Aptos" w:hAnsi="Aptos"/>
        </w:rPr>
      </w:pPr>
      <w:proofErr w:type="spellStart"/>
      <w:r w:rsidRPr="007831CA">
        <w:rPr>
          <w:rFonts w:ascii="Aptos" w:eastAsia="Aptos Display" w:hAnsi="Aptos" w:cs="Aptos Display"/>
          <w:color w:val="000000"/>
        </w:rPr>
        <w:t>Arboricultural</w:t>
      </w:r>
      <w:proofErr w:type="spellEnd"/>
      <w:r w:rsidRPr="007831CA">
        <w:rPr>
          <w:rFonts w:ascii="Aptos" w:eastAsia="Aptos Display" w:hAnsi="Aptos" w:cs="Aptos Display"/>
          <w:color w:val="000000"/>
        </w:rPr>
        <w:t xml:space="preserve"> Association / AFAG guidance on roadside and highway tree work, where combined with aerial or ground-based </w:t>
      </w:r>
      <w:proofErr w:type="spellStart"/>
      <w:r w:rsidRPr="007831CA">
        <w:rPr>
          <w:rFonts w:ascii="Aptos" w:eastAsia="Aptos Display" w:hAnsi="Aptos" w:cs="Aptos Display"/>
          <w:color w:val="000000"/>
        </w:rPr>
        <w:t>arboricultural</w:t>
      </w:r>
      <w:proofErr w:type="spellEnd"/>
      <w:r w:rsidRPr="007831CA">
        <w:rPr>
          <w:rFonts w:ascii="Aptos" w:eastAsia="Aptos Display" w:hAnsi="Aptos" w:cs="Aptos Display"/>
          <w:color w:val="000000"/>
        </w:rPr>
        <w:t xml:space="preserve"> operations</w:t>
      </w:r>
    </w:p>
    <w:p w14:paraId="396AC509" w14:textId="77777777" w:rsidR="00E70C4A" w:rsidRPr="007831CA" w:rsidRDefault="00E70C4A">
      <w:pPr>
        <w:spacing w:after="160"/>
        <w:rPr>
          <w:rFonts w:ascii="Aptos" w:hAnsi="Aptos"/>
        </w:rPr>
      </w:pPr>
    </w:p>
    <w:p w14:paraId="5015CB3A" w14:textId="77777777" w:rsidR="00E70C4A" w:rsidRPr="007831CA" w:rsidRDefault="00000000">
      <w:pPr>
        <w:spacing w:after="100"/>
        <w:rPr>
          <w:rFonts w:ascii="Aptos" w:hAnsi="Aptos"/>
        </w:rPr>
      </w:pPr>
      <w:r w:rsidRPr="007831CA">
        <w:rPr>
          <w:rFonts w:ascii="Aptos" w:eastAsia="Aptos Display" w:hAnsi="Aptos" w:cs="Aptos Display"/>
          <w:b/>
          <w:bCs/>
          <w:color w:val="000000"/>
        </w:rPr>
        <w:t>Manufacturer information (mandatory)</w:t>
      </w:r>
    </w:p>
    <w:p w14:paraId="6F224B8E" w14:textId="77777777" w:rsidR="00E70C4A" w:rsidRPr="007831CA" w:rsidRDefault="00000000">
      <w:pPr>
        <w:pStyle w:val="ListParagraph"/>
        <w:numPr>
          <w:ilvl w:val="0"/>
          <w:numId w:val="1"/>
        </w:numPr>
        <w:spacing w:after="100"/>
        <w:rPr>
          <w:rFonts w:ascii="Aptos" w:hAnsi="Aptos"/>
        </w:rPr>
      </w:pPr>
      <w:r w:rsidRPr="007831CA">
        <w:rPr>
          <w:rFonts w:ascii="Aptos" w:eastAsia="Aptos Display" w:hAnsi="Aptos" w:cs="Aptos Display"/>
          <w:color w:val="000000"/>
        </w:rPr>
        <w:t>Manufacturer instructions for all signs, cones, barriers, lighting and any vehicle-mounted traffic management equipment used, including limitations, deployment method and stacking/loading guidance.</w:t>
      </w:r>
    </w:p>
    <w:p w14:paraId="11B97E79" w14:textId="77777777" w:rsidR="00E70C4A" w:rsidRPr="007831CA" w:rsidRDefault="00E70C4A">
      <w:pPr>
        <w:spacing w:after="160"/>
        <w:rPr>
          <w:rFonts w:ascii="Aptos" w:hAnsi="Aptos"/>
        </w:rPr>
      </w:pPr>
    </w:p>
    <w:p w14:paraId="1435B36A" w14:textId="77777777" w:rsidR="00E70C4A" w:rsidRPr="007831CA" w:rsidRDefault="00000000">
      <w:pPr>
        <w:spacing w:after="100"/>
        <w:rPr>
          <w:rFonts w:ascii="Aptos" w:hAnsi="Aptos"/>
        </w:rPr>
      </w:pPr>
      <w:r w:rsidRPr="007831CA">
        <w:rPr>
          <w:rFonts w:ascii="Aptos" w:eastAsia="Aptos Display" w:hAnsi="Aptos" w:cs="Aptos Display"/>
          <w:b/>
          <w:bCs/>
          <w:color w:val="000000"/>
        </w:rPr>
        <w:t>This GRA must be used with</w:t>
      </w:r>
    </w:p>
    <w:p w14:paraId="6B30999C" w14:textId="77777777" w:rsidR="00E70C4A" w:rsidRPr="007831CA" w:rsidRDefault="00000000">
      <w:pPr>
        <w:pStyle w:val="ListParagraph"/>
        <w:numPr>
          <w:ilvl w:val="0"/>
          <w:numId w:val="1"/>
        </w:numPr>
        <w:spacing w:after="100"/>
        <w:rPr>
          <w:rFonts w:ascii="Aptos" w:hAnsi="Aptos"/>
        </w:rPr>
      </w:pPr>
      <w:r w:rsidRPr="007831CA">
        <w:rPr>
          <w:rFonts w:ascii="Aptos" w:eastAsia="Aptos Display" w:hAnsi="Aptos" w:cs="Aptos Display"/>
          <w:color w:val="000000"/>
        </w:rPr>
        <w:t>A Site-Specific Risk Assessment (SSRA)</w:t>
      </w:r>
    </w:p>
    <w:p w14:paraId="4281E70A" w14:textId="77777777" w:rsidR="00E70C4A" w:rsidRPr="007831CA" w:rsidRDefault="00000000">
      <w:pPr>
        <w:pStyle w:val="ListParagraph"/>
        <w:numPr>
          <w:ilvl w:val="0"/>
          <w:numId w:val="1"/>
        </w:numPr>
        <w:spacing w:after="100"/>
        <w:rPr>
          <w:rFonts w:ascii="Aptos" w:hAnsi="Aptos"/>
        </w:rPr>
      </w:pPr>
      <w:r w:rsidRPr="007831CA">
        <w:rPr>
          <w:rFonts w:ascii="Aptos" w:eastAsia="Aptos Display" w:hAnsi="Aptos" w:cs="Aptos Display"/>
          <w:color w:val="000000"/>
        </w:rPr>
        <w:t>The relevant highway authority permit, notice, or Temporary Traffic Regulation Order (where applicable)</w:t>
      </w:r>
    </w:p>
    <w:p w14:paraId="0C893DBB" w14:textId="77777777" w:rsidR="00E70C4A" w:rsidRPr="007831CA" w:rsidRDefault="00000000">
      <w:pPr>
        <w:pStyle w:val="ListParagraph"/>
        <w:numPr>
          <w:ilvl w:val="0"/>
          <w:numId w:val="1"/>
        </w:numPr>
        <w:spacing w:after="100"/>
        <w:rPr>
          <w:rFonts w:ascii="Aptos" w:hAnsi="Aptos"/>
        </w:rPr>
      </w:pPr>
      <w:r w:rsidRPr="007831CA">
        <w:rPr>
          <w:rFonts w:ascii="Aptos" w:eastAsia="Aptos Display" w:hAnsi="Aptos" w:cs="Aptos Display"/>
          <w:color w:val="000000"/>
        </w:rPr>
        <w:t>A Traffic Management Plan for the specific site and task</w:t>
      </w:r>
    </w:p>
    <w:p w14:paraId="0811F346" w14:textId="77777777" w:rsidR="00E70C4A" w:rsidRPr="007831CA" w:rsidRDefault="00000000">
      <w:pPr>
        <w:pStyle w:val="ListParagraph"/>
        <w:numPr>
          <w:ilvl w:val="0"/>
          <w:numId w:val="1"/>
        </w:numPr>
        <w:spacing w:after="100"/>
        <w:rPr>
          <w:rFonts w:ascii="Aptos" w:hAnsi="Aptos"/>
        </w:rPr>
      </w:pPr>
      <w:r w:rsidRPr="007831CA">
        <w:rPr>
          <w:rFonts w:ascii="Aptos" w:eastAsia="Aptos Display" w:hAnsi="Aptos" w:cs="Aptos Display"/>
          <w:color w:val="000000"/>
        </w:rPr>
        <w:t>Emergency arrangements</w:t>
      </w:r>
    </w:p>
    <w:p w14:paraId="33AE6AB8" w14:textId="77777777" w:rsidR="00E70C4A" w:rsidRPr="007831CA" w:rsidRDefault="00E70C4A">
      <w:pPr>
        <w:spacing w:after="200"/>
        <w:rPr>
          <w:rFonts w:ascii="Aptos" w:hAnsi="Aptos"/>
        </w:rPr>
      </w:pPr>
    </w:p>
    <w:p w14:paraId="4540E7B7" w14:textId="77777777" w:rsidR="00E70C4A" w:rsidRPr="007831CA" w:rsidRDefault="00000000">
      <w:pPr>
        <w:spacing w:after="100"/>
        <w:rPr>
          <w:rFonts w:ascii="Aptos" w:hAnsi="Aptos"/>
        </w:rPr>
      </w:pPr>
      <w:r w:rsidRPr="007831CA">
        <w:rPr>
          <w:rFonts w:ascii="Aptos" w:eastAsia="Aptos Display" w:hAnsi="Aptos" w:cs="Aptos Display"/>
          <w:b/>
          <w:bCs/>
          <w:color w:val="000000"/>
        </w:rPr>
        <w:t>8. Hazards and control measures</w:t>
      </w:r>
    </w:p>
    <w:p w14:paraId="66062D45" w14:textId="77777777" w:rsidR="00E70C4A" w:rsidRPr="007831CA" w:rsidRDefault="00000000">
      <w:pPr>
        <w:spacing w:after="200"/>
        <w:rPr>
          <w:rFonts w:ascii="Aptos" w:hAnsi="Aptos"/>
        </w:rPr>
      </w:pPr>
      <w:r w:rsidRPr="007831CA">
        <w:rPr>
          <w:rFonts w:ascii="Aptos" w:eastAsia="Aptos Display" w:hAnsi="Aptos" w:cs="Aptos Display"/>
          <w:color w:val="000000"/>
        </w:rPr>
        <w:t>The hazards and control measures below must be used as the minimum standard. Site-specific conditions may require additional controls.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1856"/>
        <w:gridCol w:w="567"/>
        <w:gridCol w:w="567"/>
        <w:gridCol w:w="567"/>
        <w:gridCol w:w="1275"/>
        <w:gridCol w:w="6946"/>
        <w:gridCol w:w="709"/>
        <w:gridCol w:w="709"/>
        <w:gridCol w:w="708"/>
      </w:tblGrid>
      <w:tr w:rsidR="00E70C4A" w:rsidRPr="007831CA" w14:paraId="266E7A2A" w14:textId="77777777" w:rsidTr="007831CA">
        <w:tblPrEx>
          <w:tblCellMar>
            <w:top w:w="0" w:type="dxa"/>
            <w:bottom w:w="0" w:type="dxa"/>
          </w:tblCellMar>
        </w:tblPrEx>
        <w:tc>
          <w:tcPr>
            <w:tcW w:w="1530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03AF73" w14:textId="77777777" w:rsidR="00E70C4A" w:rsidRPr="007831CA" w:rsidRDefault="00000000">
            <w:pPr>
              <w:jc w:val="center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b/>
                <w:bCs/>
                <w:color w:val="000000"/>
                <w:sz w:val="16"/>
                <w:szCs w:val="16"/>
              </w:rPr>
              <w:t>Traffic Management: Set-Up, Monitoring and Removal</w:t>
            </w:r>
          </w:p>
        </w:tc>
      </w:tr>
      <w:tr w:rsidR="00E70C4A" w:rsidRPr="007831CA" w14:paraId="3CC9294F" w14:textId="77777777" w:rsidTr="007831CA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77515740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b/>
                <w:bCs/>
                <w:color w:val="000000"/>
                <w:sz w:val="16"/>
                <w:szCs w:val="16"/>
              </w:rPr>
              <w:t>Hazard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068D22B9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b/>
                <w:bCs/>
                <w:color w:val="000000"/>
                <w:sz w:val="16"/>
                <w:szCs w:val="16"/>
              </w:rPr>
              <w:t>How harm may occur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6F79B90B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b/>
                <w:bCs/>
                <w:color w:val="000000"/>
                <w:sz w:val="16"/>
                <w:szCs w:val="16"/>
              </w:rPr>
              <w:t>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2BBCD0C9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b/>
                <w:bCs/>
                <w:color w:val="000000"/>
                <w:sz w:val="16"/>
                <w:szCs w:val="16"/>
              </w:rPr>
              <w:t>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05A2772E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b/>
                <w:bCs/>
                <w:color w:val="000000"/>
                <w:sz w:val="16"/>
                <w:szCs w:val="16"/>
              </w:rPr>
              <w:t>RR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44C2D01D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b/>
                <w:bCs/>
                <w:color w:val="000000"/>
                <w:sz w:val="16"/>
                <w:szCs w:val="16"/>
              </w:rPr>
              <w:t>Who is at risk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00B6CF6A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b/>
                <w:bCs/>
                <w:color w:val="000000"/>
                <w:sz w:val="16"/>
                <w:szCs w:val="16"/>
              </w:rPr>
              <w:t>Control measures required for safe working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003FD80C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b/>
                <w:bCs/>
                <w:color w:val="000000"/>
                <w:sz w:val="16"/>
                <w:szCs w:val="16"/>
              </w:rPr>
              <w:t>L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2C50033A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b/>
                <w:bCs/>
                <w:color w:val="000000"/>
                <w:sz w:val="16"/>
                <w:szCs w:val="16"/>
              </w:rPr>
              <w:t>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14989642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b/>
                <w:bCs/>
                <w:color w:val="000000"/>
                <w:sz w:val="16"/>
                <w:szCs w:val="16"/>
              </w:rPr>
              <w:t>RR</w:t>
            </w:r>
          </w:p>
        </w:tc>
      </w:tr>
      <w:tr w:rsidR="00E70C4A" w:rsidRPr="007831CA" w14:paraId="66FE6CF4" w14:textId="77777777" w:rsidTr="007831CA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C42928B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Incorrect or inadequate signing, lighting or guarding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0FCA5FA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Non-compliant layout leads to driver confusion, near miss or collision with operatives or the public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7784C9A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D1F6F42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9FC2379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8E9B365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Operator</w:t>
            </w:r>
          </w:p>
          <w:p w14:paraId="68940CBF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Work Team</w:t>
            </w:r>
          </w:p>
          <w:p w14:paraId="12B9DA2D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Public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EF39B34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Traffic management layout designed and checked by a competent person against Chapter 8 / Safety at Street Works and Road Works Code of Practice diagrams for the relevant road type and speed limit</w:t>
            </w:r>
          </w:p>
          <w:p w14:paraId="62961632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Signs conform to the Traffic Signs Regulations and General Directions (TSRGD) 2016</w:t>
            </w:r>
          </w:p>
          <w:p w14:paraId="32DE6331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Layout inspected before opening to traffic</w:t>
            </w:r>
          </w:p>
          <w:p w14:paraId="18901F47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Attended sites checked periodically; unattended sites checked in line with the Code of Practice monitoring requirements</w:t>
            </w:r>
          </w:p>
          <w:p w14:paraId="6C0C9D6A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Signs and cones removed or covered when no longer relevant to avoid driver confusion</w:t>
            </w:r>
          </w:p>
          <w:p w14:paraId="3AFFD54F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Site cleared promptly and fully on completion, signs/lighting/guarding removed last to first as appropriate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3A6FD76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8564F77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2335987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5</w:t>
            </w:r>
          </w:p>
        </w:tc>
      </w:tr>
      <w:tr w:rsidR="00E70C4A" w:rsidRPr="007831CA" w14:paraId="746124F8" w14:textId="77777777" w:rsidTr="007831CA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9A6AF79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 xml:space="preserve">Working in or near live traffic during </w:t>
            </w: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lastRenderedPageBreak/>
              <w:t>set-up and removal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AA67ED7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lastRenderedPageBreak/>
              <w:t xml:space="preserve">Operative struck by a vehicle while placing or </w:t>
            </w: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lastRenderedPageBreak/>
              <w:t>removing signs, cones or barriers before traffic control is fully established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05CB555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lastRenderedPageBreak/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FA52C55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EA2AA65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16FD3F6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Operator</w:t>
            </w:r>
          </w:p>
          <w:p w14:paraId="7A23542A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Work Team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860BA42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Set-up sequence planned so advance warning signs are installed first and removed last</w:t>
            </w:r>
          </w:p>
          <w:p w14:paraId="71D63823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Operatives face oncoming traffic where practicable while placing equipment</w:t>
            </w:r>
          </w:p>
          <w:p w14:paraId="42347F77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lastRenderedPageBreak/>
              <w:t>Vehicle-mounted beacons and/or arrow board used during set-up and removal</w:t>
            </w:r>
          </w:p>
          <w:p w14:paraId="730ACF85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Minimum required number of operatives used for set-up/removal, with clear roles agreed in advance</w:t>
            </w:r>
          </w:p>
          <w:p w14:paraId="00C8129D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High-visibility clothing (Class 2/3) worn at all times</w:t>
            </w:r>
          </w:p>
          <w:p w14:paraId="167EB6BA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Set-up/removal timed to avoid known peak traffic periods where practicable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634BF10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0927E5A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F060100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5</w:t>
            </w:r>
          </w:p>
        </w:tc>
      </w:tr>
      <w:tr w:rsidR="00E70C4A" w:rsidRPr="007831CA" w14:paraId="76522099" w14:textId="77777777" w:rsidTr="007831CA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DD4221F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Adverse weather and low light / visibility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E2DEBFB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Fog, rain, low sun or darkness reduces driver reaction time and the visibility of signs, cones and operatives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2C2EB87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AD270BD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63BBC34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CB003EA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Operator</w:t>
            </w:r>
          </w:p>
          <w:p w14:paraId="2792E680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Work Team</w:t>
            </w:r>
          </w:p>
          <w:p w14:paraId="49A182B5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Public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4203B29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Illuminated or reflective signs and cones used for low-light or night work</w:t>
            </w:r>
          </w:p>
          <w:p w14:paraId="738A72D3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Additional lighting provided where required</w:t>
            </w:r>
          </w:p>
          <w:p w14:paraId="21640E2D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Work postponed or scaled back where the risk cannot be adequately controlled in severe weather</w:t>
            </w:r>
          </w:p>
          <w:p w14:paraId="1680A20D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Reflective high-visibility clothing with reflective bands used for night work</w:t>
            </w:r>
          </w:p>
          <w:p w14:paraId="5FD58E0F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Increased buffer/taper distances applied in poor visibility, in line with Chapter 8 guidance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EB7BE47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A0B61B1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1AF8A1B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4</w:t>
            </w:r>
          </w:p>
        </w:tc>
      </w:tr>
      <w:tr w:rsidR="00E70C4A" w:rsidRPr="007831CA" w14:paraId="5142E13F" w14:textId="77777777" w:rsidTr="007831CA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7B971E9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Falling or overturning signs, cones and barriers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053D9E0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Wind or vehicle slipstream displaces equipment into the carriageway, onto operatives, or into the path of other road users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BDA453D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F9EE6FD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E1049BC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1E97243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Operator</w:t>
            </w:r>
          </w:p>
          <w:p w14:paraId="33D13A53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Work Team</w:t>
            </w:r>
          </w:p>
          <w:p w14:paraId="7CB74EA7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Public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F5147F8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Signs, cones and barriers weighted or ballasted appropriately for site conditions</w:t>
            </w:r>
          </w:p>
          <w:p w14:paraId="0C42ACC5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Equipment inspected for damage before use; damaged equipment withdrawn from use</w:t>
            </w:r>
          </w:p>
          <w:p w14:paraId="74EAB377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Layout checked and adjusted in high winds; additional securing used where required</w:t>
            </w:r>
          </w:p>
          <w:p w14:paraId="6AF3DB62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Sufficient spare equipment carried to promptly replace displaced items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83421E2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304A880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4C128B2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3</w:t>
            </w:r>
          </w:p>
        </w:tc>
      </w:tr>
      <w:tr w:rsidR="00E70C4A" w:rsidRPr="007831CA" w14:paraId="0A6649E3" w14:textId="77777777" w:rsidTr="007831CA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DC80AA7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Manual handling of signs, cones, barriers and traffic management equipment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E4D5733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Musculoskeletal injury from lifting, carrying or repeatedly loading/unloading heavy or bulky equipment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81711A7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80CEA23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27F42F1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737E58E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Operator</w:t>
            </w:r>
          </w:p>
          <w:p w14:paraId="066E2F70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Work Team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C1E8DAA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Mechanical aids used where practicable (trolleys, vehicle tail-lifts)</w:t>
            </w:r>
          </w:p>
          <w:p w14:paraId="4B2D9284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Team lifting used for heavy or bulky items</w:t>
            </w:r>
          </w:p>
          <w:p w14:paraId="2E5AB10A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Equipment stored and loaded to minimise carrying distance</w:t>
            </w:r>
          </w:p>
          <w:p w14:paraId="6846935D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Task rotation applied to reduce repetitive strain</w:t>
            </w:r>
          </w:p>
          <w:p w14:paraId="7690429B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Operatives trained in safe lifting technique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7581CC3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A542042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8665F63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3</w:t>
            </w:r>
          </w:p>
        </w:tc>
      </w:tr>
      <w:tr w:rsidR="00E70C4A" w:rsidRPr="007831CA" w14:paraId="08E978F8" w14:textId="77777777" w:rsidTr="007831CA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12D32C1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Unauthorised or non-compliant traffic management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E00CCD0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Works carried out without the required highway authority permit, notice or Temporary Traffic Regulation Order, or outside its conditions, resulting in an unsafe or unlawful layout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FBE11F7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9C418BB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2F59C46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378D0D8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Operator</w:t>
            </w:r>
          </w:p>
          <w:p w14:paraId="6CF0B6C6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Work Team</w:t>
            </w:r>
          </w:p>
          <w:p w14:paraId="69A0C5A2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Public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7CAD3DB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Permit, notice or Temporary Traffic Regulation Order confirmed and evidence retained in the job file before work starts (see the Legal and Other Requirements Procedure)</w:t>
            </w:r>
          </w:p>
          <w:p w14:paraId="1B2E6A01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Works do not commence, or are stopped, if required permissions are not confirmed</w:t>
            </w:r>
          </w:p>
          <w:p w14:paraId="5EA55BFD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Permit conditions (dates, times, restrictions, working hours) checked by the Site Supervisor / Team Leader before deployment and throughout the works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8C6D886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F6D3777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BF59F35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3</w:t>
            </w:r>
          </w:p>
        </w:tc>
      </w:tr>
      <w:tr w:rsidR="00E70C4A" w:rsidRPr="007831CA" w14:paraId="5EE7CDB5" w14:textId="77777777" w:rsidTr="007831CA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FD264DB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Vehicle incursion into the working area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574308D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A vehicle fails to stop, give way, or otherwise enters the signed works area, striking operatives, equipment or the public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57768F7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1029A1C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BDED77F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EFE0D3D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Operator</w:t>
            </w:r>
          </w:p>
          <w:p w14:paraId="634E986D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Work Team</w:t>
            </w:r>
          </w:p>
          <w:p w14:paraId="593A8170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Public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484787C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Escape routes identified and kept clear for operatives at all times</w:t>
            </w:r>
          </w:p>
          <w:p w14:paraId="590EFBDF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Work positioned to maximise operative reaction time and distance from the carriageway</w:t>
            </w:r>
          </w:p>
          <w:p w14:paraId="2EE17726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Where the risk assessment identifies a high likelihood of incursion, physical barriers, a vehicle restraint system (VRS) or an impact protection vehicle (IPV) used</w:t>
            </w:r>
          </w:p>
          <w:p w14:paraId="1AA4BE2E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Operatives briefed on the emergency response to a vehicle incursion before work starts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D20A83A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8E297C8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7E59DEA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5</w:t>
            </w:r>
          </w:p>
        </w:tc>
      </w:tr>
    </w:tbl>
    <w:p w14:paraId="7DCB7F54" w14:textId="77777777" w:rsidR="00E70C4A" w:rsidRDefault="00E70C4A">
      <w:pPr>
        <w:spacing w:after="260"/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1856"/>
        <w:gridCol w:w="567"/>
        <w:gridCol w:w="567"/>
        <w:gridCol w:w="567"/>
        <w:gridCol w:w="1275"/>
        <w:gridCol w:w="7088"/>
        <w:gridCol w:w="567"/>
        <w:gridCol w:w="709"/>
        <w:gridCol w:w="708"/>
      </w:tblGrid>
      <w:tr w:rsidR="00E70C4A" w:rsidRPr="007831CA" w14:paraId="00560FA2" w14:textId="77777777" w:rsidTr="007831CA">
        <w:tblPrEx>
          <w:tblCellMar>
            <w:top w:w="0" w:type="dxa"/>
            <w:bottom w:w="0" w:type="dxa"/>
          </w:tblCellMar>
        </w:tblPrEx>
        <w:tc>
          <w:tcPr>
            <w:tcW w:w="1530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E0ACE9" w14:textId="77777777" w:rsidR="00E70C4A" w:rsidRPr="007831CA" w:rsidRDefault="00000000">
            <w:pPr>
              <w:jc w:val="center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b/>
                <w:bCs/>
                <w:color w:val="000000"/>
                <w:sz w:val="16"/>
                <w:szCs w:val="16"/>
              </w:rPr>
              <w:t>Hand-Signalling and Live Traffic Control</w:t>
            </w:r>
          </w:p>
        </w:tc>
      </w:tr>
      <w:tr w:rsidR="00E70C4A" w:rsidRPr="007831CA" w14:paraId="1FB50DB1" w14:textId="77777777" w:rsidTr="007831CA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00A27B0C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b/>
                <w:bCs/>
                <w:color w:val="000000"/>
                <w:sz w:val="16"/>
                <w:szCs w:val="16"/>
              </w:rPr>
              <w:t>Hazard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74572084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b/>
                <w:bCs/>
                <w:color w:val="000000"/>
                <w:sz w:val="16"/>
                <w:szCs w:val="16"/>
              </w:rPr>
              <w:t>How harm may occur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4D875B80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b/>
                <w:bCs/>
                <w:color w:val="000000"/>
                <w:sz w:val="16"/>
                <w:szCs w:val="16"/>
              </w:rPr>
              <w:t>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5CCE243A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b/>
                <w:bCs/>
                <w:color w:val="000000"/>
                <w:sz w:val="16"/>
                <w:szCs w:val="16"/>
              </w:rPr>
              <w:t>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6B50A008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b/>
                <w:bCs/>
                <w:color w:val="000000"/>
                <w:sz w:val="16"/>
                <w:szCs w:val="16"/>
              </w:rPr>
              <w:t>RR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0F184061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b/>
                <w:bCs/>
                <w:color w:val="000000"/>
                <w:sz w:val="16"/>
                <w:szCs w:val="16"/>
              </w:rPr>
              <w:t>Who is at risk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306A8B40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b/>
                <w:bCs/>
                <w:color w:val="000000"/>
                <w:sz w:val="16"/>
                <w:szCs w:val="16"/>
              </w:rPr>
              <w:t>Control measures required for safe working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026CF111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b/>
                <w:bCs/>
                <w:color w:val="000000"/>
                <w:sz w:val="16"/>
                <w:szCs w:val="16"/>
              </w:rPr>
              <w:t>L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2868D259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b/>
                <w:bCs/>
                <w:color w:val="000000"/>
                <w:sz w:val="16"/>
                <w:szCs w:val="16"/>
              </w:rPr>
              <w:t>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585A6A83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b/>
                <w:bCs/>
                <w:color w:val="000000"/>
                <w:sz w:val="16"/>
                <w:szCs w:val="16"/>
              </w:rPr>
              <w:t>RR</w:t>
            </w:r>
          </w:p>
        </w:tc>
      </w:tr>
      <w:tr w:rsidR="00E70C4A" w:rsidRPr="007831CA" w14:paraId="782E0B8B" w14:textId="77777777" w:rsidTr="007831CA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FDAFA91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lastRenderedPageBreak/>
              <w:t>Struck by moving vehicle (operative)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ECB8085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Operative controlling or working within a live traffic management layout is struck by a passing or approaching vehicle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00E1AC0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8250694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F7A128A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9260980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Operator</w:t>
            </w:r>
          </w:p>
          <w:p w14:paraId="43477DBE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Work Team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8AFC0CF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Traffic management plan in place and layout set up in accordance with Chapter 8 / Code of Practice before live operation begins</w:t>
            </w:r>
          </w:p>
          <w:p w14:paraId="7984966B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High-visibility clothing (Class 2/3) worn at all times</w:t>
            </w:r>
          </w:p>
          <w:p w14:paraId="6E8B832D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A safety zone / buffer maintained between operatives and moving traffic</w:t>
            </w:r>
          </w:p>
          <w:p w14:paraId="79343C5F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Operatives trained and, where required, certificated (</w:t>
            </w:r>
            <w:proofErr w:type="spellStart"/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Lantra</w:t>
            </w:r>
            <w:proofErr w:type="spellEnd"/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 xml:space="preserve"> Award in Temporary Traffic Management / NHSS 12D / Sentinel)</w:t>
            </w:r>
          </w:p>
          <w:p w14:paraId="63FCFF6C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Live site monitored continuously by the Site Supervisor / Team Leader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BDFB643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06014FC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111EFED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5</w:t>
            </w:r>
          </w:p>
        </w:tc>
      </w:tr>
      <w:tr w:rsidR="00E70C4A" w:rsidRPr="007831CA" w14:paraId="12168D91" w14:textId="77777777" w:rsidTr="007831CA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97DD965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Struck by moving vehicle (member of the public / pedestrian / cyclist)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C09C1F3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Inadequate signing or segregation leads to a collision between a road user and the works, or between a pedestrian/cyclist and diverted traffic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D623AFA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C7D6F65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3276928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9F9F9ED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Public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5F5BD22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A pedestrian route maintained and signed separately from any vehicle diversion</w:t>
            </w:r>
          </w:p>
          <w:p w14:paraId="7F65987D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Barriers used to segregate pedestrians from the works and from moving traffic</w:t>
            </w:r>
          </w:p>
          <w:p w14:paraId="7797FD20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Signage positioned and maintained in line with Chapter 8</w:t>
            </w:r>
          </w:p>
          <w:p w14:paraId="1CD6AF49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Visibility of signs checked, particularly in low light or adverse weather</w:t>
            </w:r>
          </w:p>
          <w:p w14:paraId="730F4454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A banksman or traffic marshal used at pedestrian crossing points where the risk assessment identifies this is required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BBD4F4A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8979EA1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BAD4AAD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5</w:t>
            </w:r>
          </w:p>
        </w:tc>
      </w:tr>
      <w:tr w:rsidR="00E70C4A" w:rsidRPr="007831CA" w14:paraId="03902E43" w14:textId="77777777" w:rsidTr="007831CA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641A86E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Hand-signalling errors (stop/go boards)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FE732A5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Miscommunication between operatives controlling opposing traffic flows leads to a head-on conflict or vehicles being released into an unsafe gap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38E9DA4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1424AD0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73CC3D0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130C985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Operator</w:t>
            </w:r>
          </w:p>
          <w:p w14:paraId="37AFCDAE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Work Team</w:t>
            </w:r>
          </w:p>
          <w:p w14:paraId="6E72684C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Public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6180E84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Only trained and competent operatives use stop/go boards</w:t>
            </w:r>
          </w:p>
          <w:p w14:paraId="53F1AECD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Clear line of sight maintained between operatives; radios used where sight lines are not achievable</w:t>
            </w:r>
          </w:p>
          <w:p w14:paraId="79CBC7EF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Boards positioned to be clearly visible to approaching traffic in good time</w:t>
            </w:r>
          </w:p>
          <w:p w14:paraId="19C21762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Operatives positioned in a safe refuge, never standing in the carriageway</w:t>
            </w:r>
          </w:p>
          <w:p w14:paraId="4607D24F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Radios or agreed hand signals tested before use</w:t>
            </w:r>
          </w:p>
          <w:p w14:paraId="351BF405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Queue length monitored to prevent it extending beyond the signed advance warning distance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C6D3D0F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5CC28BD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443AEA8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5</w:t>
            </w:r>
          </w:p>
        </w:tc>
      </w:tr>
      <w:tr w:rsidR="00E70C4A" w:rsidRPr="007831CA" w14:paraId="6355097F" w14:textId="77777777" w:rsidTr="007831CA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D4B81E7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Noise and reduced awareness from PPE / nearby plant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4C35248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Hearing protection worn for chainsaw, chipper or other plant noise reduces an operative's ability to hear approaching traffic or warnings from colleagues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4388C6B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86FACCD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F451CB2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96ACBFA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Operator</w:t>
            </w:r>
          </w:p>
          <w:p w14:paraId="212024A4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Work Team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92A73DA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Task planning separates high-noise activities from roles directly facing live traffic where practicable</w:t>
            </w:r>
          </w:p>
          <w:p w14:paraId="1CAB6EF4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A dedicated lookout or banksman used where hearing protection is worn near live traffic</w:t>
            </w:r>
          </w:p>
          <w:p w14:paraId="77CC4AAC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Radios or agreed hand signals used to supplement verbal warnings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359A5FD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141BE57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22FEAF1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4</w:t>
            </w:r>
          </w:p>
        </w:tc>
      </w:tr>
      <w:tr w:rsidR="00E70C4A" w:rsidRPr="007831CA" w14:paraId="0EC57131" w14:textId="77777777" w:rsidTr="007831CA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05A4732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Fatigue and extended single-person traffic control duties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26A1EE2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An operative dedicated to traffic control for an extended period without rotation, particularly on hand-signalling duties, suffers lapses in concentration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C2F9626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8A005AC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E067777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9220439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Operator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908B913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Rotation of operatives on traffic control duties at suitable intervals</w:t>
            </w:r>
          </w:p>
          <w:p w14:paraId="5EB0FAD9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Adequate welfare breaks provided</w:t>
            </w:r>
          </w:p>
          <w:p w14:paraId="469434B8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Lone working on traffic control duties avoided where practicable; minimum team size maintained</w:t>
            </w:r>
          </w:p>
          <w:p w14:paraId="3EB7412C" w14:textId="77777777" w:rsidR="00E70C4A" w:rsidRPr="007831CA" w:rsidRDefault="00000000">
            <w:pPr>
              <w:spacing w:after="60"/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Supervision arrangements confirmed as part of the Site-Specific Risk Assessment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74C1605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CF579E8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052AD0B" w14:textId="77777777" w:rsidR="00E70C4A" w:rsidRPr="007831CA" w:rsidRDefault="00000000">
            <w:pPr>
              <w:rPr>
                <w:rFonts w:ascii="Aptos" w:hAnsi="Aptos"/>
              </w:rPr>
            </w:pPr>
            <w:r w:rsidRPr="007831CA">
              <w:rPr>
                <w:rFonts w:ascii="Aptos" w:eastAsia="Aptos Display" w:hAnsi="Aptos" w:cs="Aptos Display"/>
                <w:color w:val="000000"/>
                <w:sz w:val="16"/>
                <w:szCs w:val="16"/>
              </w:rPr>
              <w:t>3</w:t>
            </w:r>
          </w:p>
        </w:tc>
      </w:tr>
    </w:tbl>
    <w:p w14:paraId="47941162" w14:textId="77777777" w:rsidR="00E70C4A" w:rsidRDefault="00E70C4A">
      <w:pPr>
        <w:spacing w:after="260"/>
      </w:pPr>
    </w:p>
    <w:p w14:paraId="166BB95E" w14:textId="77777777" w:rsidR="00E70C4A" w:rsidRPr="007831CA" w:rsidRDefault="00000000">
      <w:pPr>
        <w:spacing w:after="100"/>
      </w:pPr>
      <w:r w:rsidRPr="007831CA">
        <w:rPr>
          <w:rFonts w:ascii="Aptos Display" w:eastAsia="Aptos Display" w:hAnsi="Aptos Display" w:cs="Aptos Display"/>
          <w:b/>
          <w:bCs/>
          <w:color w:val="000000"/>
        </w:rPr>
        <w:t>9. Review and monitoring</w:t>
      </w:r>
    </w:p>
    <w:p w14:paraId="3DB2F9AE" w14:textId="77777777" w:rsidR="00E70C4A" w:rsidRPr="007831CA" w:rsidRDefault="00000000">
      <w:pPr>
        <w:spacing w:after="160"/>
      </w:pPr>
      <w:r w:rsidRPr="007831CA">
        <w:rPr>
          <w:rFonts w:ascii="Aptos Display" w:eastAsia="Aptos Display" w:hAnsi="Aptos Display" w:cs="Aptos Display"/>
          <w:color w:val="000000"/>
        </w:rPr>
        <w:t>This GRA must be reviewed if there is reason to believe it is no longer valid, following an incident or near miss, or if there is a change in equipment, work methods, permit/highway authority requirements or relevant guidance.</w:t>
      </w:r>
    </w:p>
    <w:sectPr w:rsidR="00E70C4A" w:rsidRPr="007831CA" w:rsidSect="007831CA">
      <w:headerReference w:type="default" r:id="rId7"/>
      <w:footerReference w:type="default" r:id="rId8"/>
      <w:pgSz w:w="16820" w:h="11900" w:orient="landscape"/>
      <w:pgMar w:top="700" w:right="700" w:bottom="700" w:left="7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5F5954" w14:textId="77777777" w:rsidR="00677619" w:rsidRDefault="00677619">
      <w:r>
        <w:separator/>
      </w:r>
    </w:p>
  </w:endnote>
  <w:endnote w:type="continuationSeparator" w:id="0">
    <w:p w14:paraId="5E4E2AFA" w14:textId="77777777" w:rsidR="00677619" w:rsidRDefault="00677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BEF175" w14:textId="77777777" w:rsidR="00E70C4A" w:rsidRDefault="00000000">
    <w:r>
      <w:rPr>
        <w:rFonts w:ascii="Aptos Display" w:eastAsia="Aptos Display" w:hAnsi="Aptos Display" w:cs="Aptos Display"/>
        <w:color w:val="FF0000"/>
        <w:sz w:val="16"/>
        <w:szCs w:val="16"/>
      </w:rPr>
      <w:t>[COMPANY NAME] – GRA Traffic Management - ARB-GRA-29</w:t>
    </w:r>
  </w:p>
  <w:p w14:paraId="2441F2CB" w14:textId="77777777" w:rsidR="00E70C4A" w:rsidRDefault="00000000">
    <w:r>
      <w:rPr>
        <w:rFonts w:ascii="Aptos Display" w:eastAsia="Aptos Display" w:hAnsi="Aptos Display" w:cs="Aptos Display"/>
        <w:color w:val="FF0000"/>
        <w:sz w:val="16"/>
        <w:szCs w:val="16"/>
      </w:rPr>
      <w:t>Version: [VERSION]   Date Issued: [DATE]   Review Date: [REVIEW DATE]</w:t>
    </w:r>
  </w:p>
  <w:p w14:paraId="110C0EB2" w14:textId="77777777" w:rsidR="00E70C4A" w:rsidRDefault="00000000">
    <w:r>
      <w:rPr>
        <w:rFonts w:ascii="Aptos Display" w:eastAsia="Aptos Display" w:hAnsi="Aptos Display" w:cs="Aptos Display"/>
        <w:color w:val="FF0000"/>
        <w:sz w:val="16"/>
        <w:szCs w:val="16"/>
      </w:rPr>
      <w:t>Not controlled when printed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1B5095" w14:textId="77777777" w:rsidR="00677619" w:rsidRDefault="00677619">
      <w:r>
        <w:separator/>
      </w:r>
    </w:p>
  </w:footnote>
  <w:footnote w:type="continuationSeparator" w:id="0">
    <w:p w14:paraId="15251467" w14:textId="77777777" w:rsidR="00677619" w:rsidRDefault="006776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CEF843" w14:textId="77777777" w:rsidR="00E70C4A" w:rsidRDefault="00000000">
    <w:r>
      <w:rPr>
        <w:rFonts w:ascii="Aptos Display" w:eastAsia="Aptos Display" w:hAnsi="Aptos Display" w:cs="Aptos Display"/>
        <w:color w:val="FF0000"/>
        <w:sz w:val="16"/>
        <w:szCs w:val="16"/>
      </w:rPr>
      <w:t>LOGO [Insert Company Logo Here]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FD60BFE"/>
    <w:multiLevelType w:val="hybridMultilevel"/>
    <w:tmpl w:val="9BE4007C"/>
    <w:lvl w:ilvl="0" w:tplc="D0DAE41E">
      <w:start w:val="1"/>
      <w:numFmt w:val="bullet"/>
      <w:lvlText w:val="●"/>
      <w:lvlJc w:val="left"/>
      <w:pPr>
        <w:ind w:left="720" w:hanging="360"/>
      </w:pPr>
    </w:lvl>
    <w:lvl w:ilvl="1" w:tplc="F690AEC0">
      <w:start w:val="1"/>
      <w:numFmt w:val="bullet"/>
      <w:lvlText w:val="○"/>
      <w:lvlJc w:val="left"/>
      <w:pPr>
        <w:ind w:left="1440" w:hanging="360"/>
      </w:pPr>
    </w:lvl>
    <w:lvl w:ilvl="2" w:tplc="99FE2A76">
      <w:start w:val="1"/>
      <w:numFmt w:val="bullet"/>
      <w:lvlText w:val="■"/>
      <w:lvlJc w:val="left"/>
      <w:pPr>
        <w:ind w:left="2160" w:hanging="360"/>
      </w:pPr>
    </w:lvl>
    <w:lvl w:ilvl="3" w:tplc="78C2256A">
      <w:start w:val="1"/>
      <w:numFmt w:val="bullet"/>
      <w:lvlText w:val="●"/>
      <w:lvlJc w:val="left"/>
      <w:pPr>
        <w:ind w:left="2880" w:hanging="360"/>
      </w:pPr>
    </w:lvl>
    <w:lvl w:ilvl="4" w:tplc="DF7AD2D8">
      <w:start w:val="1"/>
      <w:numFmt w:val="bullet"/>
      <w:lvlText w:val="○"/>
      <w:lvlJc w:val="left"/>
      <w:pPr>
        <w:ind w:left="3600" w:hanging="360"/>
      </w:pPr>
    </w:lvl>
    <w:lvl w:ilvl="5" w:tplc="5A98CC0E">
      <w:start w:val="1"/>
      <w:numFmt w:val="bullet"/>
      <w:lvlText w:val="■"/>
      <w:lvlJc w:val="left"/>
      <w:pPr>
        <w:ind w:left="4320" w:hanging="360"/>
      </w:pPr>
    </w:lvl>
    <w:lvl w:ilvl="6" w:tplc="F48EB646">
      <w:start w:val="1"/>
      <w:numFmt w:val="bullet"/>
      <w:lvlText w:val="●"/>
      <w:lvlJc w:val="left"/>
      <w:pPr>
        <w:ind w:left="5040" w:hanging="360"/>
      </w:pPr>
    </w:lvl>
    <w:lvl w:ilvl="7" w:tplc="125495EC">
      <w:start w:val="1"/>
      <w:numFmt w:val="bullet"/>
      <w:lvlText w:val="●"/>
      <w:lvlJc w:val="left"/>
      <w:pPr>
        <w:ind w:left="5760" w:hanging="360"/>
      </w:pPr>
    </w:lvl>
    <w:lvl w:ilvl="8" w:tplc="174E7D7A">
      <w:start w:val="1"/>
      <w:numFmt w:val="bullet"/>
      <w:lvlText w:val="●"/>
      <w:lvlJc w:val="left"/>
      <w:pPr>
        <w:ind w:left="6480" w:hanging="360"/>
      </w:pPr>
    </w:lvl>
  </w:abstractNum>
  <w:num w:numId="1" w16cid:durableId="179320701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C4A"/>
    <w:rsid w:val="002725DE"/>
    <w:rsid w:val="00677619"/>
    <w:rsid w:val="007831CA"/>
    <w:rsid w:val="00E70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060A16"/>
  <w15:docId w15:val="{AAF67C0A-CB43-2140-B83B-67B053CFF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2062</Words>
  <Characters>11347</Characters>
  <Application>Microsoft Office Word</Application>
  <DocSecurity>0</DocSecurity>
  <Lines>515</Lines>
  <Paragraphs>335</Paragraphs>
  <ScaleCrop>false</ScaleCrop>
  <Company/>
  <LinksUpToDate>false</LinksUpToDate>
  <CharactersWithSpaces>13074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Sophie Rogers</cp:lastModifiedBy>
  <cp:revision>2</cp:revision>
  <dcterms:created xsi:type="dcterms:W3CDTF">2026-09-03T12:03:00Z</dcterms:created>
  <dcterms:modified xsi:type="dcterms:W3CDTF">2026-09-15T11:32:00Z</dcterms:modified>
</cp:coreProperties>
</file>